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6D23E" w14:textId="77777777" w:rsidR="00737083" w:rsidRPr="00AC559F" w:rsidRDefault="00260792">
      <w:pPr>
        <w:jc w:val="right"/>
      </w:pPr>
      <w:r w:rsidRPr="00AC559F">
        <w:t>Majandus- ja infotehnoloogiaministri</w:t>
      </w:r>
    </w:p>
    <w:p w14:paraId="7D0C78A0" w14:textId="77777777" w:rsidR="00737083" w:rsidRPr="00AC559F" w:rsidRDefault="00260792">
      <w:pPr>
        <w:jc w:val="right"/>
      </w:pPr>
      <w:r w:rsidRPr="00AC559F">
        <w:t>19.07.2023 määrus nr 48</w:t>
      </w:r>
    </w:p>
    <w:p w14:paraId="627C85BD" w14:textId="77777777" w:rsidR="00737083" w:rsidRPr="00AC559F" w:rsidRDefault="00260792">
      <w:pPr>
        <w:jc w:val="right"/>
      </w:pPr>
      <w:r w:rsidRPr="00AC559F">
        <w:t>„Tööalase konkurentsivõime toetamine“</w:t>
      </w:r>
    </w:p>
    <w:p w14:paraId="5E2387FD" w14:textId="77777777" w:rsidR="00737083" w:rsidRPr="00AC559F" w:rsidRDefault="00260792">
      <w:pPr>
        <w:jc w:val="right"/>
      </w:pPr>
      <w:r w:rsidRPr="00AC559F">
        <w:t>Lisa 1</w:t>
      </w:r>
    </w:p>
    <w:p w14:paraId="1424D712" w14:textId="77777777" w:rsidR="00737083" w:rsidRPr="00AC559F" w:rsidRDefault="00260792">
      <w:pPr>
        <w:jc w:val="right"/>
      </w:pPr>
      <w:r w:rsidRPr="00AC559F">
        <w:t>(muudetud sõnastuses)</w:t>
      </w:r>
    </w:p>
    <w:p w14:paraId="645B7F11" w14:textId="77777777" w:rsidR="00737083" w:rsidRPr="00AC559F" w:rsidRDefault="00737083">
      <w:pPr>
        <w:spacing w:line="240" w:lineRule="auto"/>
        <w:jc w:val="center"/>
        <w:rPr>
          <w:b/>
        </w:rPr>
      </w:pPr>
    </w:p>
    <w:p w14:paraId="25268B7D" w14:textId="77777777" w:rsidR="00737083" w:rsidRPr="00AC559F" w:rsidRDefault="00737083">
      <w:pPr>
        <w:spacing w:line="240" w:lineRule="auto"/>
        <w:jc w:val="center"/>
        <w:rPr>
          <w:b/>
        </w:rPr>
      </w:pPr>
    </w:p>
    <w:p w14:paraId="52C20BDB" w14:textId="77777777" w:rsidR="00737083" w:rsidRPr="00AC559F" w:rsidRDefault="00260792">
      <w:pPr>
        <w:spacing w:line="240" w:lineRule="auto"/>
        <w:jc w:val="center"/>
        <w:rPr>
          <w:b/>
        </w:rPr>
      </w:pPr>
      <w:r w:rsidRPr="00AC559F">
        <w:rPr>
          <w:b/>
        </w:rPr>
        <w:t>Ekspertide hindamislehe vorm</w:t>
      </w:r>
    </w:p>
    <w:p w14:paraId="794DBB67" w14:textId="77777777" w:rsidR="00737083" w:rsidRPr="00AC559F" w:rsidRDefault="00737083">
      <w:pPr>
        <w:spacing w:line="240" w:lineRule="auto"/>
        <w:jc w:val="center"/>
        <w:rPr>
          <w:b/>
        </w:rPr>
      </w:pPr>
    </w:p>
    <w:p w14:paraId="361B5F5F" w14:textId="77777777" w:rsidR="00737083" w:rsidRPr="00AC559F" w:rsidRDefault="00737083">
      <w:pPr>
        <w:jc w:val="right"/>
      </w:pPr>
    </w:p>
    <w:tbl>
      <w:tblPr>
        <w:tblStyle w:val="a"/>
        <w:tblW w:w="9209" w:type="dxa"/>
        <w:tblInd w:w="0" w:type="dxa"/>
        <w:tblLayout w:type="fixed"/>
        <w:tblLook w:val="0400" w:firstRow="0" w:lastRow="0" w:firstColumn="0" w:lastColumn="0" w:noHBand="0" w:noVBand="1"/>
      </w:tblPr>
      <w:tblGrid>
        <w:gridCol w:w="3256"/>
        <w:gridCol w:w="5953"/>
      </w:tblGrid>
      <w:tr w:rsidR="00AC559F" w:rsidRPr="00AC559F" w14:paraId="46F0D8A0" w14:textId="77777777" w:rsidTr="00630D59">
        <w:trPr>
          <w:trHeight w:val="254"/>
        </w:trPr>
        <w:tc>
          <w:tcPr>
            <w:tcW w:w="3256" w:type="dxa"/>
            <w:tcBorders>
              <w:top w:val="single" w:sz="4" w:space="0" w:color="000000"/>
              <w:left w:val="single" w:sz="4" w:space="0" w:color="000000"/>
              <w:bottom w:val="single" w:sz="4" w:space="0" w:color="000000"/>
              <w:right w:val="single" w:sz="4" w:space="0" w:color="000000"/>
            </w:tcBorders>
          </w:tcPr>
          <w:p w14:paraId="53268A37" w14:textId="77777777" w:rsidR="00737083" w:rsidRPr="00AC559F" w:rsidRDefault="00260792">
            <w:pPr>
              <w:jc w:val="left"/>
              <w:rPr>
                <w:rFonts w:ascii="Arial" w:eastAsia="Arial" w:hAnsi="Arial" w:cs="Arial"/>
                <w:sz w:val="22"/>
                <w:szCs w:val="22"/>
              </w:rPr>
            </w:pPr>
            <w:r w:rsidRPr="00AC559F">
              <w:rPr>
                <w:rFonts w:ascii="Arial" w:eastAsia="Arial" w:hAnsi="Arial" w:cs="Arial"/>
                <w:sz w:val="22"/>
                <w:szCs w:val="22"/>
              </w:rPr>
              <w:t>Taotluse nimi</w:t>
            </w:r>
          </w:p>
        </w:tc>
        <w:tc>
          <w:tcPr>
            <w:tcW w:w="5953" w:type="dxa"/>
            <w:tcBorders>
              <w:top w:val="single" w:sz="4" w:space="0" w:color="000000"/>
              <w:left w:val="single" w:sz="4" w:space="0" w:color="000000"/>
              <w:bottom w:val="single" w:sz="4" w:space="0" w:color="000000"/>
              <w:right w:val="single" w:sz="4" w:space="0" w:color="000000"/>
            </w:tcBorders>
          </w:tcPr>
          <w:p w14:paraId="08913D7F" w14:textId="77777777" w:rsidR="00737083" w:rsidRPr="00AC559F" w:rsidRDefault="00260792">
            <w:pPr>
              <w:rPr>
                <w:rFonts w:ascii="Arial" w:eastAsia="Arial" w:hAnsi="Arial" w:cs="Arial"/>
              </w:rPr>
            </w:pPr>
            <w:proofErr w:type="spellStart"/>
            <w:r w:rsidRPr="00AC559F">
              <w:rPr>
                <w:rFonts w:ascii="Arial" w:eastAsia="Arial" w:hAnsi="Arial" w:cs="Arial"/>
              </w:rPr>
              <w:t>Women</w:t>
            </w:r>
            <w:proofErr w:type="spellEnd"/>
            <w:r w:rsidRPr="00AC559F">
              <w:rPr>
                <w:rFonts w:ascii="Arial" w:eastAsia="Arial" w:hAnsi="Arial" w:cs="Arial"/>
              </w:rPr>
              <w:t xml:space="preserve"> In </w:t>
            </w:r>
            <w:proofErr w:type="spellStart"/>
            <w:r w:rsidRPr="00AC559F">
              <w:rPr>
                <w:rFonts w:ascii="Arial" w:eastAsia="Arial" w:hAnsi="Arial" w:cs="Arial"/>
              </w:rPr>
              <w:t>Tech</w:t>
            </w:r>
            <w:proofErr w:type="spellEnd"/>
          </w:p>
        </w:tc>
      </w:tr>
      <w:tr w:rsidR="00AC559F" w:rsidRPr="00AC559F" w14:paraId="25313A3A" w14:textId="77777777" w:rsidTr="00630D59">
        <w:trPr>
          <w:trHeight w:val="211"/>
        </w:trPr>
        <w:tc>
          <w:tcPr>
            <w:tcW w:w="3256" w:type="dxa"/>
            <w:tcBorders>
              <w:top w:val="single" w:sz="4" w:space="0" w:color="000000"/>
              <w:left w:val="single" w:sz="4" w:space="0" w:color="000000"/>
              <w:bottom w:val="single" w:sz="4" w:space="0" w:color="000000"/>
              <w:right w:val="single" w:sz="4" w:space="0" w:color="000000"/>
            </w:tcBorders>
          </w:tcPr>
          <w:p w14:paraId="20B34167" w14:textId="77777777" w:rsidR="00737083" w:rsidRPr="00AC559F" w:rsidRDefault="00260792">
            <w:pPr>
              <w:jc w:val="left"/>
              <w:rPr>
                <w:rFonts w:ascii="Arial" w:eastAsia="Arial" w:hAnsi="Arial" w:cs="Arial"/>
                <w:sz w:val="22"/>
                <w:szCs w:val="22"/>
              </w:rPr>
            </w:pPr>
            <w:r w:rsidRPr="00AC559F">
              <w:rPr>
                <w:rFonts w:ascii="Arial" w:eastAsia="Arial" w:hAnsi="Arial" w:cs="Arial"/>
                <w:sz w:val="22"/>
                <w:szCs w:val="22"/>
              </w:rPr>
              <w:t>Taotluse number</w:t>
            </w:r>
          </w:p>
        </w:tc>
        <w:tc>
          <w:tcPr>
            <w:tcW w:w="5953" w:type="dxa"/>
            <w:tcBorders>
              <w:top w:val="single" w:sz="4" w:space="0" w:color="000000"/>
              <w:left w:val="single" w:sz="4" w:space="0" w:color="000000"/>
              <w:bottom w:val="single" w:sz="4" w:space="0" w:color="000000"/>
              <w:right w:val="single" w:sz="4" w:space="0" w:color="000000"/>
            </w:tcBorders>
          </w:tcPr>
          <w:p w14:paraId="17E0C6A4" w14:textId="77777777" w:rsidR="00737083" w:rsidRPr="00AC559F" w:rsidRDefault="00260792">
            <w:pPr>
              <w:rPr>
                <w:rFonts w:ascii="Arial" w:eastAsia="Arial" w:hAnsi="Arial" w:cs="Arial"/>
              </w:rPr>
            </w:pPr>
            <w:r w:rsidRPr="00AC559F">
              <w:rPr>
                <w:rFonts w:ascii="Arial" w:eastAsia="Arial" w:hAnsi="Arial" w:cs="Arial"/>
              </w:rPr>
              <w:t>2021-2027.4.02.24-0073</w:t>
            </w:r>
          </w:p>
        </w:tc>
      </w:tr>
      <w:tr w:rsidR="00AC559F" w:rsidRPr="00AC559F" w14:paraId="47B1D304" w14:textId="77777777" w:rsidTr="00630D59">
        <w:trPr>
          <w:trHeight w:val="179"/>
        </w:trPr>
        <w:tc>
          <w:tcPr>
            <w:tcW w:w="3256" w:type="dxa"/>
            <w:tcBorders>
              <w:top w:val="single" w:sz="4" w:space="0" w:color="000000"/>
              <w:left w:val="single" w:sz="4" w:space="0" w:color="000000"/>
              <w:bottom w:val="single" w:sz="4" w:space="0" w:color="000000"/>
              <w:right w:val="single" w:sz="4" w:space="0" w:color="000000"/>
            </w:tcBorders>
          </w:tcPr>
          <w:p w14:paraId="6C9382D5" w14:textId="77777777" w:rsidR="00737083" w:rsidRPr="00AC559F" w:rsidRDefault="00260792">
            <w:pPr>
              <w:jc w:val="left"/>
              <w:rPr>
                <w:rFonts w:ascii="Arial" w:eastAsia="Arial" w:hAnsi="Arial" w:cs="Arial"/>
                <w:sz w:val="22"/>
                <w:szCs w:val="22"/>
              </w:rPr>
            </w:pPr>
            <w:r w:rsidRPr="00AC559F">
              <w:rPr>
                <w:rFonts w:ascii="Arial" w:eastAsia="Arial" w:hAnsi="Arial" w:cs="Arial"/>
                <w:sz w:val="22"/>
                <w:szCs w:val="22"/>
              </w:rPr>
              <w:t>Hindamisele andmise kuupäev</w:t>
            </w:r>
          </w:p>
        </w:tc>
        <w:tc>
          <w:tcPr>
            <w:tcW w:w="5953" w:type="dxa"/>
            <w:tcBorders>
              <w:top w:val="single" w:sz="4" w:space="0" w:color="000000"/>
              <w:left w:val="single" w:sz="4" w:space="0" w:color="000000"/>
              <w:bottom w:val="single" w:sz="4" w:space="0" w:color="000000"/>
              <w:right w:val="single" w:sz="4" w:space="0" w:color="000000"/>
            </w:tcBorders>
          </w:tcPr>
          <w:p w14:paraId="720F1552" w14:textId="77777777" w:rsidR="00737083" w:rsidRPr="00AC559F" w:rsidRDefault="00260792">
            <w:pPr>
              <w:rPr>
                <w:rFonts w:ascii="Arial" w:eastAsia="Arial" w:hAnsi="Arial" w:cs="Arial"/>
              </w:rPr>
            </w:pPr>
            <w:r w:rsidRPr="00AC559F">
              <w:rPr>
                <w:rFonts w:ascii="Arial" w:eastAsia="Arial" w:hAnsi="Arial" w:cs="Arial"/>
              </w:rPr>
              <w:t>14.10.2024</w:t>
            </w:r>
          </w:p>
        </w:tc>
      </w:tr>
      <w:tr w:rsidR="00737083" w:rsidRPr="00AC559F" w14:paraId="22796B92" w14:textId="77777777" w:rsidTr="00630D59">
        <w:trPr>
          <w:trHeight w:val="259"/>
        </w:trPr>
        <w:tc>
          <w:tcPr>
            <w:tcW w:w="3256" w:type="dxa"/>
            <w:tcBorders>
              <w:top w:val="single" w:sz="4" w:space="0" w:color="000000"/>
              <w:left w:val="single" w:sz="4" w:space="0" w:color="000000"/>
              <w:bottom w:val="single" w:sz="4" w:space="0" w:color="000000"/>
              <w:right w:val="single" w:sz="4" w:space="0" w:color="000000"/>
            </w:tcBorders>
          </w:tcPr>
          <w:p w14:paraId="0BF90D68" w14:textId="77777777" w:rsidR="00737083" w:rsidRPr="00AC559F" w:rsidRDefault="00260792">
            <w:pPr>
              <w:jc w:val="left"/>
              <w:rPr>
                <w:rFonts w:ascii="Arial" w:eastAsia="Arial" w:hAnsi="Arial" w:cs="Arial"/>
                <w:sz w:val="22"/>
                <w:szCs w:val="22"/>
              </w:rPr>
            </w:pPr>
            <w:r w:rsidRPr="00AC559F">
              <w:rPr>
                <w:rFonts w:ascii="Arial" w:eastAsia="Arial" w:hAnsi="Arial" w:cs="Arial"/>
                <w:sz w:val="22"/>
                <w:szCs w:val="22"/>
              </w:rPr>
              <w:t>Hindamislehe tagastamise tähtpäev</w:t>
            </w:r>
          </w:p>
        </w:tc>
        <w:tc>
          <w:tcPr>
            <w:tcW w:w="5953" w:type="dxa"/>
            <w:tcBorders>
              <w:top w:val="single" w:sz="4" w:space="0" w:color="000000"/>
              <w:left w:val="single" w:sz="4" w:space="0" w:color="000000"/>
              <w:bottom w:val="single" w:sz="4" w:space="0" w:color="000000"/>
              <w:right w:val="single" w:sz="4" w:space="0" w:color="000000"/>
            </w:tcBorders>
          </w:tcPr>
          <w:p w14:paraId="6C841729" w14:textId="77777777" w:rsidR="00737083" w:rsidRPr="00AC559F" w:rsidRDefault="00260792">
            <w:pPr>
              <w:rPr>
                <w:rFonts w:ascii="Arial" w:eastAsia="Arial" w:hAnsi="Arial" w:cs="Arial"/>
              </w:rPr>
            </w:pPr>
            <w:r w:rsidRPr="00AC559F">
              <w:rPr>
                <w:rFonts w:ascii="Arial" w:eastAsia="Arial" w:hAnsi="Arial" w:cs="Arial"/>
              </w:rPr>
              <w:t>28.10.2024</w:t>
            </w:r>
          </w:p>
        </w:tc>
      </w:tr>
    </w:tbl>
    <w:p w14:paraId="27207444" w14:textId="77777777" w:rsidR="00737083" w:rsidRPr="00AC559F" w:rsidRDefault="00737083">
      <w:pPr>
        <w:pBdr>
          <w:top w:val="nil"/>
          <w:left w:val="nil"/>
          <w:bottom w:val="nil"/>
          <w:right w:val="nil"/>
          <w:between w:val="nil"/>
        </w:pBdr>
        <w:spacing w:line="276" w:lineRule="auto"/>
        <w:jc w:val="left"/>
        <w:rPr>
          <w:rFonts w:ascii="Arial" w:eastAsia="Arial" w:hAnsi="Arial" w:cs="Arial"/>
        </w:rPr>
      </w:pPr>
    </w:p>
    <w:tbl>
      <w:tblPr>
        <w:tblStyle w:val="a0"/>
        <w:tblW w:w="12366" w:type="dxa"/>
        <w:tblInd w:w="0" w:type="dxa"/>
        <w:tblLayout w:type="fixed"/>
        <w:tblLook w:val="0400" w:firstRow="0" w:lastRow="0" w:firstColumn="0" w:lastColumn="0" w:noHBand="0" w:noVBand="1"/>
      </w:tblPr>
      <w:tblGrid>
        <w:gridCol w:w="6379"/>
        <w:gridCol w:w="1418"/>
        <w:gridCol w:w="1417"/>
        <w:gridCol w:w="3152"/>
      </w:tblGrid>
      <w:tr w:rsidR="00AC559F" w:rsidRPr="00AC559F" w14:paraId="75152327" w14:textId="77777777" w:rsidTr="00630D59">
        <w:trPr>
          <w:gridAfter w:val="1"/>
          <w:wAfter w:w="3152" w:type="dxa"/>
          <w:trHeight w:val="300"/>
        </w:trPr>
        <w:tc>
          <w:tcPr>
            <w:tcW w:w="6379" w:type="dxa"/>
            <w:tcBorders>
              <w:top w:val="nil"/>
              <w:left w:val="nil"/>
              <w:bottom w:val="nil"/>
              <w:right w:val="nil"/>
            </w:tcBorders>
            <w:shd w:val="clear" w:color="auto" w:fill="auto"/>
            <w:vAlign w:val="center"/>
          </w:tcPr>
          <w:p w14:paraId="23191F55" w14:textId="77777777" w:rsidR="00737083" w:rsidRPr="00AC559F" w:rsidRDefault="00737083">
            <w:pPr>
              <w:spacing w:line="240" w:lineRule="auto"/>
              <w:jc w:val="center"/>
              <w:rPr>
                <w:b/>
              </w:rPr>
            </w:pPr>
          </w:p>
        </w:tc>
        <w:tc>
          <w:tcPr>
            <w:tcW w:w="1418" w:type="dxa"/>
            <w:tcBorders>
              <w:top w:val="nil"/>
              <w:left w:val="nil"/>
              <w:bottom w:val="nil"/>
              <w:right w:val="nil"/>
            </w:tcBorders>
            <w:shd w:val="clear" w:color="auto" w:fill="auto"/>
            <w:vAlign w:val="bottom"/>
          </w:tcPr>
          <w:p w14:paraId="15D3D66D" w14:textId="77777777" w:rsidR="00737083" w:rsidRPr="00AC559F" w:rsidRDefault="00737083">
            <w:pPr>
              <w:spacing w:line="240" w:lineRule="auto"/>
              <w:jc w:val="center"/>
              <w:rPr>
                <w:b/>
              </w:rPr>
            </w:pPr>
          </w:p>
        </w:tc>
        <w:tc>
          <w:tcPr>
            <w:tcW w:w="1417" w:type="dxa"/>
            <w:tcBorders>
              <w:top w:val="nil"/>
              <w:left w:val="nil"/>
              <w:bottom w:val="nil"/>
              <w:right w:val="nil"/>
            </w:tcBorders>
            <w:shd w:val="clear" w:color="auto" w:fill="auto"/>
            <w:vAlign w:val="bottom"/>
          </w:tcPr>
          <w:p w14:paraId="7AD5BF34" w14:textId="77777777" w:rsidR="00737083" w:rsidRPr="00AC559F" w:rsidRDefault="00737083">
            <w:pPr>
              <w:spacing w:line="240" w:lineRule="auto"/>
            </w:pPr>
          </w:p>
        </w:tc>
      </w:tr>
      <w:tr w:rsidR="00AC559F" w:rsidRPr="00AC559F" w14:paraId="75027E82" w14:textId="77777777" w:rsidTr="00630D59">
        <w:trPr>
          <w:gridAfter w:val="1"/>
          <w:wAfter w:w="3152" w:type="dxa"/>
          <w:trHeight w:val="458"/>
        </w:trPr>
        <w:tc>
          <w:tcPr>
            <w:tcW w:w="63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F27359" w14:textId="77777777" w:rsidR="00737083" w:rsidRPr="00AC559F" w:rsidRDefault="00260792">
            <w:pPr>
              <w:spacing w:line="240" w:lineRule="auto"/>
              <w:rPr>
                <w:b/>
              </w:rPr>
            </w:pPr>
            <w:r w:rsidRPr="00AC559F">
              <w:rPr>
                <w:b/>
              </w:rPr>
              <w:t xml:space="preserve">Hindamisleht </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3FF1A0" w14:textId="77777777" w:rsidR="00737083" w:rsidRPr="00AC559F" w:rsidRDefault="00260792">
            <w:pPr>
              <w:spacing w:line="240" w:lineRule="auto"/>
              <w:jc w:val="center"/>
              <w:rPr>
                <w:b/>
              </w:rPr>
            </w:pPr>
            <w:r w:rsidRPr="00AC559F">
              <w:rPr>
                <w:b/>
              </w:rPr>
              <w:t>Maksimum-hinne</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256E3A" w14:textId="77777777" w:rsidR="00737083" w:rsidRPr="00AC559F" w:rsidRDefault="00260792">
            <w:pPr>
              <w:spacing w:line="240" w:lineRule="auto"/>
              <w:jc w:val="center"/>
              <w:rPr>
                <w:b/>
              </w:rPr>
            </w:pPr>
            <w:r w:rsidRPr="00AC559F">
              <w:rPr>
                <w:b/>
              </w:rPr>
              <w:t>Hinne</w:t>
            </w:r>
          </w:p>
        </w:tc>
      </w:tr>
      <w:tr w:rsidR="00AC559F" w:rsidRPr="00AC559F" w14:paraId="36CD23DD" w14:textId="77777777" w:rsidTr="00630D59">
        <w:trPr>
          <w:trHeight w:val="300"/>
        </w:trPr>
        <w:tc>
          <w:tcPr>
            <w:tcW w:w="63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BC4074" w14:textId="77777777" w:rsidR="00737083" w:rsidRPr="00AC559F" w:rsidRDefault="00737083">
            <w:pPr>
              <w:pBdr>
                <w:top w:val="nil"/>
                <w:left w:val="nil"/>
                <w:bottom w:val="nil"/>
                <w:right w:val="nil"/>
                <w:between w:val="nil"/>
              </w:pBdr>
              <w:spacing w:line="276" w:lineRule="auto"/>
              <w:jc w:val="left"/>
              <w:rPr>
                <w:b/>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18C78" w14:textId="77777777" w:rsidR="00737083" w:rsidRPr="00AC559F" w:rsidRDefault="00737083">
            <w:pPr>
              <w:pBdr>
                <w:top w:val="nil"/>
                <w:left w:val="nil"/>
                <w:bottom w:val="nil"/>
                <w:right w:val="nil"/>
                <w:between w:val="nil"/>
              </w:pBdr>
              <w:spacing w:line="276" w:lineRule="auto"/>
              <w:jc w:val="left"/>
              <w:rPr>
                <w:b/>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76817A" w14:textId="77777777" w:rsidR="00737083" w:rsidRPr="00AC559F" w:rsidRDefault="00737083">
            <w:pPr>
              <w:pBdr>
                <w:top w:val="nil"/>
                <w:left w:val="nil"/>
                <w:bottom w:val="nil"/>
                <w:right w:val="nil"/>
                <w:between w:val="nil"/>
              </w:pBdr>
              <w:spacing w:line="276" w:lineRule="auto"/>
              <w:jc w:val="left"/>
              <w:rPr>
                <w:b/>
              </w:rPr>
            </w:pPr>
          </w:p>
        </w:tc>
        <w:tc>
          <w:tcPr>
            <w:tcW w:w="3152" w:type="dxa"/>
            <w:tcBorders>
              <w:top w:val="nil"/>
              <w:left w:val="nil"/>
              <w:bottom w:val="nil"/>
              <w:right w:val="nil"/>
            </w:tcBorders>
            <w:shd w:val="clear" w:color="auto" w:fill="auto"/>
            <w:vAlign w:val="bottom"/>
          </w:tcPr>
          <w:p w14:paraId="1B5213C5" w14:textId="77777777" w:rsidR="00737083" w:rsidRPr="00AC559F" w:rsidRDefault="00737083">
            <w:pPr>
              <w:spacing w:line="240" w:lineRule="auto"/>
              <w:jc w:val="center"/>
              <w:rPr>
                <w:b/>
              </w:rPr>
            </w:pPr>
          </w:p>
        </w:tc>
      </w:tr>
      <w:tr w:rsidR="00AC559F" w:rsidRPr="00AC559F" w14:paraId="3BA4076B" w14:textId="77777777" w:rsidTr="00630D59">
        <w:trPr>
          <w:trHeight w:val="300"/>
        </w:trPr>
        <w:tc>
          <w:tcPr>
            <w:tcW w:w="6379" w:type="dxa"/>
            <w:tcBorders>
              <w:top w:val="nil"/>
              <w:left w:val="single" w:sz="4" w:space="0" w:color="000000"/>
              <w:bottom w:val="nil"/>
              <w:right w:val="single" w:sz="4" w:space="0" w:color="000000"/>
            </w:tcBorders>
            <w:shd w:val="clear" w:color="auto" w:fill="auto"/>
            <w:vAlign w:val="center"/>
          </w:tcPr>
          <w:p w14:paraId="76E5B112" w14:textId="77777777" w:rsidR="00737083" w:rsidRPr="00AC559F" w:rsidRDefault="00260792">
            <w:pPr>
              <w:spacing w:line="240" w:lineRule="auto"/>
              <w:rPr>
                <w:b/>
              </w:rPr>
            </w:pPr>
            <w:bookmarkStart w:id="0" w:name="_heading=h.gjdgxs" w:colFirst="0" w:colLast="0"/>
            <w:bookmarkEnd w:id="0"/>
            <w:r w:rsidRPr="00AC559F">
              <w:rPr>
                <w:b/>
              </w:rPr>
              <w:t>1. Projekti kooskõla valdkondlike arengukavadega, mõju rakenduskava erieesmärgi ja meetme eesmärkide saavutamisele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6ECEF" w14:textId="77777777" w:rsidR="00737083" w:rsidRPr="00AC559F" w:rsidRDefault="00260792">
            <w:pPr>
              <w:spacing w:line="240" w:lineRule="auto"/>
              <w:jc w:val="center"/>
              <w:rPr>
                <w:b/>
              </w:rPr>
            </w:pPr>
            <w:r w:rsidRPr="00AC559F">
              <w:rPr>
                <w:b/>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C6E28" w14:textId="44A71E7E" w:rsidR="00737083" w:rsidRPr="00AC559F" w:rsidRDefault="00260792">
            <w:pPr>
              <w:spacing w:line="240" w:lineRule="auto"/>
              <w:jc w:val="center"/>
            </w:pPr>
            <w:r w:rsidRPr="00AC559F">
              <w:t> </w:t>
            </w:r>
            <w:r w:rsidR="00125BD7" w:rsidRPr="00AC559F">
              <w:t>6</w:t>
            </w:r>
          </w:p>
        </w:tc>
        <w:tc>
          <w:tcPr>
            <w:tcW w:w="3152" w:type="dxa"/>
            <w:tcBorders>
              <w:left w:val="single" w:sz="4" w:space="0" w:color="000000"/>
            </w:tcBorders>
            <w:vAlign w:val="center"/>
          </w:tcPr>
          <w:p w14:paraId="469ACC7F" w14:textId="77777777" w:rsidR="00737083" w:rsidRPr="00AC559F" w:rsidRDefault="00737083">
            <w:pPr>
              <w:spacing w:line="240" w:lineRule="auto"/>
            </w:pPr>
          </w:p>
        </w:tc>
      </w:tr>
      <w:tr w:rsidR="00AC559F" w:rsidRPr="00AC559F" w14:paraId="7C4A891E" w14:textId="77777777" w:rsidTr="00630D59">
        <w:trPr>
          <w:trHeight w:val="300"/>
        </w:trPr>
        <w:tc>
          <w:tcPr>
            <w:tcW w:w="6379" w:type="dxa"/>
            <w:tcBorders>
              <w:top w:val="single" w:sz="4" w:space="0" w:color="000000"/>
              <w:left w:val="single" w:sz="4" w:space="0" w:color="000000"/>
              <w:bottom w:val="nil"/>
              <w:right w:val="single" w:sz="4" w:space="0" w:color="000000"/>
            </w:tcBorders>
            <w:shd w:val="clear" w:color="auto" w:fill="auto"/>
            <w:vAlign w:val="center"/>
          </w:tcPr>
          <w:p w14:paraId="1EBD6133" w14:textId="77777777" w:rsidR="00737083" w:rsidRPr="00AC559F" w:rsidRDefault="00260792">
            <w:pPr>
              <w:spacing w:line="240" w:lineRule="auto"/>
            </w:pPr>
            <w:r w:rsidRPr="00AC559F">
              <w:t>1.1. Projekti panus meetme eesmärkide saavutamisse</w:t>
            </w:r>
          </w:p>
          <w:p w14:paraId="6246A662" w14:textId="77777777" w:rsidR="00737083" w:rsidRPr="00AC559F" w:rsidRDefault="00260792">
            <w:pPr>
              <w:spacing w:line="240" w:lineRule="auto"/>
            </w:pPr>
            <w:r w:rsidRPr="00AC559F">
              <w:rPr>
                <w:i/>
              </w:rPr>
              <w:t>(e-toetuse taotlusvormi sisu alajaotuse andmeväljad „projekti eesmärk ja tulemused“)</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69FB08" w14:textId="77777777" w:rsidR="00737083" w:rsidRPr="00AC559F" w:rsidRDefault="00260792">
            <w:pPr>
              <w:spacing w:line="240" w:lineRule="auto"/>
              <w:jc w:val="center"/>
            </w:pPr>
            <w:r w:rsidRPr="00AC559F">
              <w:t>4 </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D03E4B" w14:textId="77777777" w:rsidR="00737083" w:rsidRPr="00AC559F" w:rsidRDefault="00260792">
            <w:pPr>
              <w:spacing w:line="240" w:lineRule="auto"/>
              <w:jc w:val="center"/>
            </w:pPr>
            <w:r w:rsidRPr="00AC559F">
              <w:t>4 </w:t>
            </w:r>
          </w:p>
        </w:tc>
        <w:tc>
          <w:tcPr>
            <w:tcW w:w="3152" w:type="dxa"/>
            <w:vAlign w:val="center"/>
          </w:tcPr>
          <w:p w14:paraId="3EF29BA9" w14:textId="77777777" w:rsidR="00737083" w:rsidRPr="00AC559F" w:rsidRDefault="00737083">
            <w:pPr>
              <w:spacing w:line="240" w:lineRule="auto"/>
            </w:pPr>
          </w:p>
        </w:tc>
      </w:tr>
      <w:tr w:rsidR="00AC559F" w:rsidRPr="00AC559F" w14:paraId="79A29CDD" w14:textId="77777777" w:rsidTr="00630D59">
        <w:trPr>
          <w:trHeight w:val="300"/>
        </w:trPr>
        <w:tc>
          <w:tcPr>
            <w:tcW w:w="6379" w:type="dxa"/>
            <w:tcBorders>
              <w:top w:val="nil"/>
              <w:left w:val="single" w:sz="4" w:space="0" w:color="000000"/>
              <w:bottom w:val="single" w:sz="4" w:space="0" w:color="000000"/>
              <w:right w:val="single" w:sz="4" w:space="0" w:color="000000"/>
            </w:tcBorders>
            <w:shd w:val="clear" w:color="auto" w:fill="auto"/>
            <w:vAlign w:val="center"/>
          </w:tcPr>
          <w:p w14:paraId="527B4539" w14:textId="77777777" w:rsidR="00737083" w:rsidRPr="00AC559F" w:rsidRDefault="00737083">
            <w:pPr>
              <w:spacing w:line="240" w:lineRule="auto"/>
              <w:rPr>
                <w:i/>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1B8953" w14:textId="77777777" w:rsidR="00737083" w:rsidRPr="00AC559F" w:rsidRDefault="00737083">
            <w:pPr>
              <w:pBdr>
                <w:top w:val="nil"/>
                <w:left w:val="nil"/>
                <w:bottom w:val="nil"/>
                <w:right w:val="nil"/>
                <w:between w:val="nil"/>
              </w:pBdr>
              <w:spacing w:line="276" w:lineRule="auto"/>
              <w:jc w:val="left"/>
              <w:rPr>
                <w:i/>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702B63" w14:textId="77777777" w:rsidR="00737083" w:rsidRPr="00AC559F" w:rsidRDefault="00737083">
            <w:pPr>
              <w:pBdr>
                <w:top w:val="nil"/>
                <w:left w:val="nil"/>
                <w:bottom w:val="nil"/>
                <w:right w:val="nil"/>
                <w:between w:val="nil"/>
              </w:pBdr>
              <w:spacing w:line="276" w:lineRule="auto"/>
              <w:jc w:val="left"/>
              <w:rPr>
                <w:i/>
              </w:rPr>
            </w:pPr>
          </w:p>
        </w:tc>
        <w:tc>
          <w:tcPr>
            <w:tcW w:w="3152" w:type="dxa"/>
            <w:vAlign w:val="center"/>
          </w:tcPr>
          <w:p w14:paraId="273D66EF" w14:textId="77777777" w:rsidR="00737083" w:rsidRPr="00AC559F" w:rsidRDefault="00737083">
            <w:pPr>
              <w:spacing w:line="240" w:lineRule="auto"/>
            </w:pPr>
          </w:p>
        </w:tc>
      </w:tr>
      <w:tr w:rsidR="00AC559F" w:rsidRPr="00AC559F" w14:paraId="13EAA35B" w14:textId="77777777" w:rsidTr="00630D59">
        <w:trPr>
          <w:trHeight w:val="300"/>
        </w:trPr>
        <w:tc>
          <w:tcPr>
            <w:tcW w:w="921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68B368" w14:textId="77777777" w:rsidR="00737083" w:rsidRPr="00AC559F" w:rsidRDefault="00260792">
            <w:pPr>
              <w:spacing w:line="240" w:lineRule="auto"/>
            </w:pPr>
            <w:r w:rsidRPr="00AC559F">
              <w:t>Selgitus punkti 1.1 hinnangute kohta:</w:t>
            </w:r>
          </w:p>
          <w:p w14:paraId="335C6CB4" w14:textId="77777777" w:rsidR="000E1A0F" w:rsidRPr="00AC559F" w:rsidRDefault="000E1A0F">
            <w:pPr>
              <w:spacing w:line="240" w:lineRule="auto"/>
            </w:pPr>
          </w:p>
          <w:p w14:paraId="33097A03" w14:textId="77777777" w:rsidR="00737083" w:rsidRPr="00AC559F" w:rsidRDefault="00260792">
            <w:pPr>
              <w:spacing w:line="240" w:lineRule="auto"/>
            </w:pPr>
            <w:r w:rsidRPr="00AC559F">
              <w:t>Projekti eesmärgid on vastavuses määruse ja meetme eesmärkidega. Planeeritud tegevused panustavad määruse „Tööalase konkurentsivõime toetamine“ ning meetme 2.1.6 „Sotsiaalsem Eesti“ eesmärgi saavutamisse.</w:t>
            </w:r>
          </w:p>
          <w:p w14:paraId="41B796FD" w14:textId="77777777" w:rsidR="000E1A0F" w:rsidRPr="00AC559F" w:rsidRDefault="000E1A0F">
            <w:pPr>
              <w:spacing w:line="240" w:lineRule="auto"/>
            </w:pPr>
          </w:p>
        </w:tc>
        <w:tc>
          <w:tcPr>
            <w:tcW w:w="3152" w:type="dxa"/>
            <w:vAlign w:val="center"/>
          </w:tcPr>
          <w:p w14:paraId="3B284BA4" w14:textId="77777777" w:rsidR="00737083" w:rsidRPr="00AC559F" w:rsidRDefault="00737083">
            <w:pPr>
              <w:spacing w:line="240" w:lineRule="auto"/>
            </w:pPr>
          </w:p>
        </w:tc>
      </w:tr>
      <w:tr w:rsidR="00AC559F" w:rsidRPr="00AC559F" w14:paraId="21954928" w14:textId="77777777" w:rsidTr="00630D59">
        <w:trPr>
          <w:trHeight w:val="300"/>
        </w:trPr>
        <w:tc>
          <w:tcPr>
            <w:tcW w:w="921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898631" w14:textId="77777777" w:rsidR="00737083" w:rsidRPr="00AC559F" w:rsidRDefault="00737083">
            <w:pPr>
              <w:pBdr>
                <w:top w:val="nil"/>
                <w:left w:val="nil"/>
                <w:bottom w:val="nil"/>
                <w:right w:val="nil"/>
                <w:between w:val="nil"/>
              </w:pBdr>
              <w:spacing w:line="276" w:lineRule="auto"/>
              <w:jc w:val="left"/>
            </w:pPr>
          </w:p>
        </w:tc>
        <w:tc>
          <w:tcPr>
            <w:tcW w:w="3152" w:type="dxa"/>
            <w:tcBorders>
              <w:top w:val="nil"/>
              <w:left w:val="nil"/>
              <w:bottom w:val="nil"/>
              <w:right w:val="nil"/>
            </w:tcBorders>
            <w:shd w:val="clear" w:color="auto" w:fill="auto"/>
            <w:vAlign w:val="bottom"/>
          </w:tcPr>
          <w:p w14:paraId="55EDDF1D" w14:textId="77777777" w:rsidR="00737083" w:rsidRPr="00AC559F" w:rsidRDefault="00737083">
            <w:pPr>
              <w:spacing w:line="240" w:lineRule="auto"/>
            </w:pPr>
          </w:p>
        </w:tc>
      </w:tr>
      <w:tr w:rsidR="00AC559F" w:rsidRPr="00AC559F" w14:paraId="5A55B799" w14:textId="77777777" w:rsidTr="00630D59">
        <w:trPr>
          <w:trHeight w:val="300"/>
        </w:trPr>
        <w:tc>
          <w:tcPr>
            <w:tcW w:w="6379" w:type="dxa"/>
            <w:tcBorders>
              <w:top w:val="nil"/>
              <w:left w:val="single" w:sz="4" w:space="0" w:color="000000"/>
              <w:bottom w:val="nil"/>
              <w:right w:val="single" w:sz="4" w:space="0" w:color="000000"/>
            </w:tcBorders>
            <w:shd w:val="clear" w:color="auto" w:fill="auto"/>
            <w:vAlign w:val="center"/>
          </w:tcPr>
          <w:p w14:paraId="77245367" w14:textId="77777777" w:rsidR="00737083" w:rsidRPr="00AC559F" w:rsidRDefault="00260792">
            <w:pPr>
              <w:spacing w:line="240" w:lineRule="auto"/>
            </w:pPr>
            <w:r w:rsidRPr="00AC559F">
              <w:t xml:space="preserve">1.2. Projekti panus meetme tulemusnäitaja saavutamisse </w:t>
            </w:r>
          </w:p>
          <w:p w14:paraId="47A08862" w14:textId="77777777" w:rsidR="00737083" w:rsidRPr="00AC559F" w:rsidRDefault="00260792">
            <w:pPr>
              <w:spacing w:line="240" w:lineRule="auto"/>
              <w:rPr>
                <w:i/>
              </w:rPr>
            </w:pPr>
            <w:r w:rsidRPr="00AC559F">
              <w:rPr>
                <w:i/>
              </w:rPr>
              <w:t>(e-toetuse taotlusvormi sisu alajaotuse andmeväljad „projekti eesmärk ja tulemused“, „näitajad“ ning „projekti tulemuste jätkusuutlikkus“ )</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tcPr>
          <w:p w14:paraId="749CFC14" w14:textId="77777777" w:rsidR="00737083" w:rsidRPr="00AC559F" w:rsidRDefault="00260792">
            <w:pPr>
              <w:spacing w:line="240" w:lineRule="auto"/>
              <w:jc w:val="center"/>
            </w:pPr>
            <w:r w:rsidRPr="00AC559F">
              <w:t>2 </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tcPr>
          <w:p w14:paraId="457F7B5C" w14:textId="77777777" w:rsidR="00737083" w:rsidRPr="00AC559F" w:rsidRDefault="00260792">
            <w:pPr>
              <w:spacing w:line="240" w:lineRule="auto"/>
              <w:jc w:val="center"/>
            </w:pPr>
            <w:r w:rsidRPr="00AC559F">
              <w:t>2</w:t>
            </w:r>
          </w:p>
        </w:tc>
        <w:tc>
          <w:tcPr>
            <w:tcW w:w="3152" w:type="dxa"/>
            <w:vAlign w:val="center"/>
          </w:tcPr>
          <w:p w14:paraId="46AC4812" w14:textId="77777777" w:rsidR="00737083" w:rsidRPr="00AC559F" w:rsidRDefault="00737083">
            <w:pPr>
              <w:spacing w:line="240" w:lineRule="auto"/>
            </w:pPr>
          </w:p>
        </w:tc>
      </w:tr>
      <w:tr w:rsidR="00AC559F" w:rsidRPr="00AC559F" w14:paraId="53466BC8" w14:textId="77777777" w:rsidTr="00630D59">
        <w:trPr>
          <w:trHeight w:val="300"/>
        </w:trPr>
        <w:tc>
          <w:tcPr>
            <w:tcW w:w="6379" w:type="dxa"/>
            <w:tcBorders>
              <w:top w:val="nil"/>
              <w:left w:val="single" w:sz="4" w:space="0" w:color="000000"/>
              <w:bottom w:val="single" w:sz="4" w:space="0" w:color="000000"/>
              <w:right w:val="single" w:sz="4" w:space="0" w:color="000000"/>
            </w:tcBorders>
            <w:shd w:val="clear" w:color="auto" w:fill="auto"/>
            <w:vAlign w:val="center"/>
          </w:tcPr>
          <w:p w14:paraId="2571595A" w14:textId="77777777" w:rsidR="000E1A0F" w:rsidRPr="00AC559F" w:rsidRDefault="000E1A0F">
            <w:pPr>
              <w:spacing w:line="240" w:lineRule="auto"/>
            </w:pPr>
          </w:p>
        </w:tc>
        <w:tc>
          <w:tcPr>
            <w:tcW w:w="1418" w:type="dxa"/>
            <w:vMerge/>
            <w:tcBorders>
              <w:top w:val="nil"/>
              <w:left w:val="single" w:sz="4" w:space="0" w:color="000000"/>
              <w:bottom w:val="single" w:sz="4" w:space="0" w:color="000000"/>
              <w:right w:val="single" w:sz="4" w:space="0" w:color="000000"/>
            </w:tcBorders>
            <w:shd w:val="clear" w:color="auto" w:fill="auto"/>
            <w:vAlign w:val="center"/>
          </w:tcPr>
          <w:p w14:paraId="087D9356" w14:textId="77777777" w:rsidR="00737083" w:rsidRPr="00AC559F" w:rsidRDefault="00737083">
            <w:pPr>
              <w:pBdr>
                <w:top w:val="nil"/>
                <w:left w:val="nil"/>
                <w:bottom w:val="nil"/>
                <w:right w:val="nil"/>
                <w:between w:val="nil"/>
              </w:pBdr>
              <w:spacing w:line="276" w:lineRule="auto"/>
              <w:jc w:val="left"/>
            </w:pP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14:paraId="548A0236" w14:textId="77777777" w:rsidR="00737083" w:rsidRPr="00AC559F" w:rsidRDefault="00737083">
            <w:pPr>
              <w:pBdr>
                <w:top w:val="nil"/>
                <w:left w:val="nil"/>
                <w:bottom w:val="nil"/>
                <w:right w:val="nil"/>
                <w:between w:val="nil"/>
              </w:pBdr>
              <w:spacing w:line="276" w:lineRule="auto"/>
              <w:jc w:val="left"/>
            </w:pPr>
          </w:p>
        </w:tc>
        <w:tc>
          <w:tcPr>
            <w:tcW w:w="3152" w:type="dxa"/>
            <w:vAlign w:val="center"/>
          </w:tcPr>
          <w:p w14:paraId="4D83C5C1" w14:textId="77777777" w:rsidR="00737083" w:rsidRPr="00AC559F" w:rsidRDefault="00737083">
            <w:pPr>
              <w:spacing w:line="240" w:lineRule="auto"/>
            </w:pPr>
          </w:p>
        </w:tc>
      </w:tr>
      <w:tr w:rsidR="00AC559F" w:rsidRPr="00AC559F" w14:paraId="080796EB" w14:textId="77777777" w:rsidTr="00630D59">
        <w:trPr>
          <w:trHeight w:val="6662"/>
        </w:trPr>
        <w:tc>
          <w:tcPr>
            <w:tcW w:w="921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A1BC5C" w14:textId="77777777" w:rsidR="00737083" w:rsidRPr="00AC559F" w:rsidRDefault="00260792">
            <w:pPr>
              <w:spacing w:line="240" w:lineRule="auto"/>
            </w:pPr>
            <w:r w:rsidRPr="00AC559F">
              <w:lastRenderedPageBreak/>
              <w:t>Selgitus punkti 1.2 hinnangute kohta:</w:t>
            </w:r>
          </w:p>
          <w:p w14:paraId="0AC3F40F" w14:textId="77777777" w:rsidR="00737083" w:rsidRPr="00AC559F" w:rsidRDefault="00260792">
            <w:pPr>
              <w:spacing w:line="240" w:lineRule="auto"/>
            </w:pPr>
            <w:r w:rsidRPr="00AC559F">
              <w:t xml:space="preserve"> </w:t>
            </w:r>
          </w:p>
          <w:p w14:paraId="1A76A6BD" w14:textId="39693DA9" w:rsidR="00737083" w:rsidRPr="00AC559F" w:rsidRDefault="00260792">
            <w:pPr>
              <w:spacing w:line="240" w:lineRule="auto"/>
            </w:pPr>
            <w:r w:rsidRPr="00AC559F">
              <w:t>Projektitaotluses seatud eesmärk ja kavandatud tegevused on suunatud sihtgrupi tööturu positsiooni hoidmisele</w:t>
            </w:r>
            <w:r w:rsidR="000E1A0F" w:rsidRPr="00AC559F">
              <w:t xml:space="preserve"> ja </w:t>
            </w:r>
            <w:r w:rsidRPr="00AC559F">
              <w:t>parandamisele.</w:t>
            </w:r>
          </w:p>
          <w:p w14:paraId="156F539D" w14:textId="7E0B5488" w:rsidR="004D3F1B" w:rsidRPr="00AC559F" w:rsidRDefault="004D3F1B">
            <w:pPr>
              <w:spacing w:line="240" w:lineRule="auto"/>
            </w:pPr>
            <w:r w:rsidRPr="00AC559F">
              <w:t>Kavandatud on meetmes ettenähtud rakendumine. Projekti järgselt on kavandatud tööle rakenduma üle 40% sihtgrupist mis vastab meetme määruse tulemusnäitajale.</w:t>
            </w:r>
          </w:p>
          <w:p w14:paraId="4A3A4CE3" w14:textId="1ECC5FD0" w:rsidR="00737083" w:rsidRPr="00AC559F" w:rsidRDefault="00260792">
            <w:pPr>
              <w:spacing w:line="240" w:lineRule="auto"/>
            </w:pPr>
            <w:r w:rsidRPr="00AC559F">
              <w:t>Projektis keskendutakse IT oskuste arendamisele ning antakse ka spetsiifilised oskused, mis võimaldab sihtgrupil siseneda IKT valdkonnas tööturule või pakkuda teenuseid eraettevõtjana, vabatahtlikuna.</w:t>
            </w:r>
            <w:r w:rsidR="006B570A" w:rsidRPr="00AC559F">
              <w:t xml:space="preserve"> </w:t>
            </w:r>
          </w:p>
          <w:p w14:paraId="67AC187E" w14:textId="2D6577AD" w:rsidR="00737083" w:rsidRPr="00AC559F" w:rsidRDefault="00260792" w:rsidP="00226F02">
            <w:pPr>
              <w:spacing w:line="240" w:lineRule="auto"/>
            </w:pPr>
            <w:r w:rsidRPr="00AC559F">
              <w:t xml:space="preserve">Hindajad soovitavad üle vaadata taotluses välja toodud </w:t>
            </w:r>
            <w:proofErr w:type="spellStart"/>
            <w:r w:rsidRPr="00AC559F">
              <w:t>üldeesmärgi</w:t>
            </w:r>
            <w:proofErr w:type="spellEnd"/>
            <w:r w:rsidRPr="00AC559F">
              <w:t xml:space="preserve"> sõnastuse</w:t>
            </w:r>
            <w:r w:rsidR="006435AB" w:rsidRPr="00AC559F">
              <w:t xml:space="preserve">. </w:t>
            </w:r>
            <w:r w:rsidRPr="00AC559F">
              <w:t>Hetkel on projekti eesmärgiks „naiste osakaalu tõus Eesti IKT sektoris ning IKT-</w:t>
            </w:r>
            <w:proofErr w:type="spellStart"/>
            <w:r w:rsidRPr="00AC559F">
              <w:t>ga</w:t>
            </w:r>
            <w:proofErr w:type="spellEnd"/>
            <w:r w:rsidRPr="00AC559F">
              <w:t xml:space="preserve"> seotud ametitel“. </w:t>
            </w:r>
            <w:r w:rsidR="006435AB" w:rsidRPr="00AC559F">
              <w:t xml:space="preserve">Isegi kui 100% projekti </w:t>
            </w:r>
            <w:r w:rsidRPr="00AC559F">
              <w:t>375 osaleja</w:t>
            </w:r>
            <w:r w:rsidR="006435AB" w:rsidRPr="00AC559F">
              <w:t xml:space="preserve">st </w:t>
            </w:r>
            <w:r w:rsidRPr="00AC559F">
              <w:t>leiaksid endale töökoha IKT sektorist, mõjutaks see naiste osakaalu Eesti IKT sektoris vähem kui 1% võrra</w:t>
            </w:r>
            <w:r w:rsidR="00740AE9" w:rsidRPr="00AC559F">
              <w:rPr>
                <w:rStyle w:val="Allmrkuseviide"/>
              </w:rPr>
              <w:footnoteReference w:id="2"/>
            </w:r>
            <w:r w:rsidRPr="00AC559F">
              <w:t>. Projekti panus „Ühtekuuluvuspoliitika fondide rakenduskava 2021–2027“ tulemusnäitaja sihttaseme täitmisesse on kindlas</w:t>
            </w:r>
            <w:r w:rsidR="006435AB" w:rsidRPr="00AC559F">
              <w:t>t</w:t>
            </w:r>
            <w:r w:rsidRPr="00AC559F">
              <w:t xml:space="preserve">i olemas aga </w:t>
            </w:r>
            <w:r w:rsidR="006435AB" w:rsidRPr="00AC559F">
              <w:t xml:space="preserve">mitte </w:t>
            </w:r>
            <w:r w:rsidRPr="00AC559F">
              <w:t xml:space="preserve">osakaalu kasvuna näidatav, sest see pole üksiku projektiga saavutatav. </w:t>
            </w:r>
          </w:p>
        </w:tc>
        <w:tc>
          <w:tcPr>
            <w:tcW w:w="3152" w:type="dxa"/>
            <w:vAlign w:val="center"/>
          </w:tcPr>
          <w:p w14:paraId="503478B5" w14:textId="77777777" w:rsidR="00737083" w:rsidRPr="00AC559F" w:rsidRDefault="00737083">
            <w:pPr>
              <w:spacing w:line="240" w:lineRule="auto"/>
            </w:pPr>
          </w:p>
        </w:tc>
      </w:tr>
      <w:tr w:rsidR="00AC559F" w:rsidRPr="00AC559F" w14:paraId="728411F6" w14:textId="77777777" w:rsidTr="00422216">
        <w:trPr>
          <w:trHeight w:val="55"/>
        </w:trPr>
        <w:tc>
          <w:tcPr>
            <w:tcW w:w="921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355CB6" w14:textId="77777777" w:rsidR="00737083" w:rsidRPr="00AC559F" w:rsidRDefault="00737083">
            <w:pPr>
              <w:pBdr>
                <w:top w:val="nil"/>
                <w:left w:val="nil"/>
                <w:bottom w:val="nil"/>
                <w:right w:val="nil"/>
                <w:between w:val="nil"/>
              </w:pBdr>
              <w:spacing w:line="276" w:lineRule="auto"/>
              <w:jc w:val="left"/>
            </w:pPr>
          </w:p>
        </w:tc>
        <w:tc>
          <w:tcPr>
            <w:tcW w:w="3152" w:type="dxa"/>
            <w:tcBorders>
              <w:top w:val="nil"/>
              <w:left w:val="nil"/>
              <w:bottom w:val="nil"/>
              <w:right w:val="nil"/>
            </w:tcBorders>
            <w:shd w:val="clear" w:color="auto" w:fill="auto"/>
            <w:vAlign w:val="bottom"/>
          </w:tcPr>
          <w:p w14:paraId="68327374" w14:textId="77777777" w:rsidR="00737083" w:rsidRPr="00AC559F" w:rsidRDefault="00737083">
            <w:pPr>
              <w:spacing w:line="240" w:lineRule="auto"/>
            </w:pPr>
          </w:p>
        </w:tc>
      </w:tr>
      <w:tr w:rsidR="00AC559F" w:rsidRPr="00AC559F" w14:paraId="2BDFB0D0" w14:textId="77777777" w:rsidTr="00630D59">
        <w:trPr>
          <w:trHeight w:val="300"/>
        </w:trPr>
        <w:tc>
          <w:tcPr>
            <w:tcW w:w="6379" w:type="dxa"/>
            <w:vMerge w:val="restart"/>
            <w:tcBorders>
              <w:top w:val="nil"/>
              <w:left w:val="single" w:sz="4" w:space="0" w:color="000000"/>
              <w:bottom w:val="single" w:sz="4" w:space="0" w:color="000000"/>
              <w:right w:val="single" w:sz="4" w:space="0" w:color="000000"/>
            </w:tcBorders>
            <w:shd w:val="clear" w:color="auto" w:fill="auto"/>
            <w:vAlign w:val="center"/>
          </w:tcPr>
          <w:p w14:paraId="4FB20EFD" w14:textId="77777777" w:rsidR="00737083" w:rsidRPr="00AC559F" w:rsidRDefault="00260792">
            <w:pPr>
              <w:spacing w:line="240" w:lineRule="auto"/>
              <w:rPr>
                <w:b/>
              </w:rPr>
            </w:pPr>
            <w:r w:rsidRPr="00AC559F">
              <w:rPr>
                <w:b/>
              </w:rPr>
              <w:t>2. Projekti põhjendatus</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tcPr>
          <w:p w14:paraId="7CF5ED3A" w14:textId="77777777" w:rsidR="00737083" w:rsidRPr="00AC559F" w:rsidRDefault="00260792">
            <w:pPr>
              <w:spacing w:line="240" w:lineRule="auto"/>
              <w:jc w:val="center"/>
              <w:rPr>
                <w:b/>
              </w:rPr>
            </w:pPr>
            <w:r w:rsidRPr="00AC559F">
              <w:rPr>
                <w:b/>
              </w:rPr>
              <w:t> 11</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tcPr>
          <w:p w14:paraId="019ACACD" w14:textId="2ECCCD44" w:rsidR="00737083" w:rsidRPr="00AC559F" w:rsidRDefault="00F67BAA">
            <w:pPr>
              <w:spacing w:line="240" w:lineRule="auto"/>
              <w:jc w:val="center"/>
            </w:pPr>
            <w:r w:rsidRPr="00AC559F">
              <w:t>7</w:t>
            </w:r>
          </w:p>
        </w:tc>
        <w:tc>
          <w:tcPr>
            <w:tcW w:w="3152" w:type="dxa"/>
            <w:vAlign w:val="center"/>
          </w:tcPr>
          <w:p w14:paraId="2A62D059" w14:textId="77777777" w:rsidR="00737083" w:rsidRPr="00AC559F" w:rsidRDefault="00737083">
            <w:pPr>
              <w:spacing w:line="240" w:lineRule="auto"/>
            </w:pPr>
          </w:p>
        </w:tc>
      </w:tr>
      <w:tr w:rsidR="00AC559F" w:rsidRPr="00AC559F" w14:paraId="5EF38830" w14:textId="77777777" w:rsidTr="00630D59">
        <w:trPr>
          <w:trHeight w:val="300"/>
        </w:trPr>
        <w:tc>
          <w:tcPr>
            <w:tcW w:w="6379" w:type="dxa"/>
            <w:vMerge/>
            <w:tcBorders>
              <w:top w:val="nil"/>
              <w:left w:val="single" w:sz="4" w:space="0" w:color="000000"/>
              <w:bottom w:val="single" w:sz="4" w:space="0" w:color="000000"/>
              <w:right w:val="single" w:sz="4" w:space="0" w:color="000000"/>
            </w:tcBorders>
            <w:shd w:val="clear" w:color="auto" w:fill="auto"/>
            <w:vAlign w:val="center"/>
          </w:tcPr>
          <w:p w14:paraId="3F8EEFAB" w14:textId="77777777" w:rsidR="00737083" w:rsidRPr="00AC559F" w:rsidRDefault="00737083">
            <w:pPr>
              <w:pBdr>
                <w:top w:val="nil"/>
                <w:left w:val="nil"/>
                <w:bottom w:val="nil"/>
                <w:right w:val="nil"/>
                <w:between w:val="nil"/>
              </w:pBdr>
              <w:spacing w:line="276" w:lineRule="auto"/>
              <w:jc w:val="left"/>
            </w:pPr>
          </w:p>
        </w:tc>
        <w:tc>
          <w:tcPr>
            <w:tcW w:w="1418" w:type="dxa"/>
            <w:vMerge/>
            <w:tcBorders>
              <w:top w:val="nil"/>
              <w:left w:val="single" w:sz="4" w:space="0" w:color="000000"/>
              <w:bottom w:val="single" w:sz="4" w:space="0" w:color="000000"/>
              <w:right w:val="single" w:sz="4" w:space="0" w:color="000000"/>
            </w:tcBorders>
            <w:shd w:val="clear" w:color="auto" w:fill="auto"/>
            <w:vAlign w:val="center"/>
          </w:tcPr>
          <w:p w14:paraId="698D5BFB" w14:textId="77777777" w:rsidR="00737083" w:rsidRPr="00AC559F" w:rsidRDefault="00737083">
            <w:pPr>
              <w:pBdr>
                <w:top w:val="nil"/>
                <w:left w:val="nil"/>
                <w:bottom w:val="nil"/>
                <w:right w:val="nil"/>
                <w:between w:val="nil"/>
              </w:pBdr>
              <w:spacing w:line="276" w:lineRule="auto"/>
              <w:jc w:val="left"/>
            </w:pP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14:paraId="6F0EA112" w14:textId="77777777" w:rsidR="00737083" w:rsidRPr="00AC559F" w:rsidRDefault="00737083">
            <w:pPr>
              <w:pBdr>
                <w:top w:val="nil"/>
                <w:left w:val="nil"/>
                <w:bottom w:val="nil"/>
                <w:right w:val="nil"/>
                <w:between w:val="nil"/>
              </w:pBdr>
              <w:spacing w:line="276" w:lineRule="auto"/>
              <w:jc w:val="left"/>
            </w:pPr>
          </w:p>
        </w:tc>
        <w:tc>
          <w:tcPr>
            <w:tcW w:w="3152" w:type="dxa"/>
            <w:tcBorders>
              <w:top w:val="nil"/>
              <w:left w:val="nil"/>
              <w:bottom w:val="nil"/>
              <w:right w:val="nil"/>
            </w:tcBorders>
            <w:shd w:val="clear" w:color="auto" w:fill="auto"/>
            <w:vAlign w:val="bottom"/>
          </w:tcPr>
          <w:p w14:paraId="1F46172B" w14:textId="77777777" w:rsidR="00737083" w:rsidRPr="00AC559F" w:rsidRDefault="00737083">
            <w:pPr>
              <w:spacing w:line="240" w:lineRule="auto"/>
              <w:jc w:val="center"/>
            </w:pPr>
          </w:p>
        </w:tc>
      </w:tr>
      <w:tr w:rsidR="00AC559F" w:rsidRPr="00AC559F" w14:paraId="008E5A28" w14:textId="77777777" w:rsidTr="00630D59">
        <w:trPr>
          <w:trHeight w:val="300"/>
        </w:trPr>
        <w:tc>
          <w:tcPr>
            <w:tcW w:w="6379" w:type="dxa"/>
            <w:tcBorders>
              <w:top w:val="nil"/>
              <w:left w:val="single" w:sz="4" w:space="0" w:color="000000"/>
              <w:bottom w:val="nil"/>
              <w:right w:val="single" w:sz="4" w:space="0" w:color="000000"/>
            </w:tcBorders>
            <w:shd w:val="clear" w:color="auto" w:fill="auto"/>
            <w:vAlign w:val="center"/>
          </w:tcPr>
          <w:p w14:paraId="3FBC82C9" w14:textId="77777777" w:rsidR="00737083" w:rsidRPr="00AC559F" w:rsidRDefault="00260792">
            <w:pPr>
              <w:spacing w:line="240" w:lineRule="auto"/>
            </w:pPr>
            <w:r w:rsidRPr="00AC559F">
              <w:t>2.1. Projekti olemasoleva olukorra ja projekti vajaduse põhjendatus olukorra analüüsist lähtuvalt, mh projekti tegevuste selgus, teostatavus ja mõistlikkus.</w:t>
            </w:r>
          </w:p>
          <w:p w14:paraId="3DF241B2" w14:textId="77777777" w:rsidR="00737083" w:rsidRPr="00AC559F" w:rsidRDefault="00737083">
            <w:pPr>
              <w:spacing w:line="240" w:lineRule="auto"/>
            </w:pPr>
          </w:p>
          <w:p w14:paraId="11CF19FE" w14:textId="77777777" w:rsidR="00737083" w:rsidRPr="00AC559F" w:rsidRDefault="00260792">
            <w:pPr>
              <w:spacing w:line="240" w:lineRule="auto"/>
              <w:rPr>
                <w:i/>
              </w:rPr>
            </w:pPr>
            <w:r w:rsidRPr="00AC559F">
              <w:rPr>
                <w:i/>
              </w:rPr>
              <w:t>(e-toetuse taotlusvormi sisu alajaotuse andmeväljad „olemasolev olukord ja ülevaade projekti vajalikkusest“, „näitajad“ ja „tegevused“).</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tcPr>
          <w:p w14:paraId="5124CDF5" w14:textId="77777777" w:rsidR="00737083" w:rsidRPr="00AC559F" w:rsidRDefault="00260792">
            <w:pPr>
              <w:spacing w:line="240" w:lineRule="auto"/>
              <w:jc w:val="center"/>
            </w:pPr>
            <w:r w:rsidRPr="00AC559F">
              <w:t>6</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tcPr>
          <w:p w14:paraId="0BFE220C" w14:textId="202E2678" w:rsidR="00737083" w:rsidRPr="00AC559F" w:rsidRDefault="006C6AA2">
            <w:pPr>
              <w:spacing w:line="240" w:lineRule="auto"/>
              <w:jc w:val="center"/>
            </w:pPr>
            <w:r w:rsidRPr="00AC559F">
              <w:t>6</w:t>
            </w:r>
            <w:r w:rsidR="00260792" w:rsidRPr="00AC559F">
              <w:t> </w:t>
            </w:r>
          </w:p>
        </w:tc>
        <w:tc>
          <w:tcPr>
            <w:tcW w:w="3152" w:type="dxa"/>
            <w:vAlign w:val="center"/>
          </w:tcPr>
          <w:p w14:paraId="2F6CEB5F" w14:textId="77777777" w:rsidR="00737083" w:rsidRPr="00AC559F" w:rsidRDefault="00737083">
            <w:pPr>
              <w:spacing w:line="240" w:lineRule="auto"/>
            </w:pPr>
          </w:p>
        </w:tc>
      </w:tr>
      <w:tr w:rsidR="00AC559F" w:rsidRPr="00AC559F" w14:paraId="49F38573" w14:textId="77777777" w:rsidTr="00630D59">
        <w:trPr>
          <w:trHeight w:val="300"/>
        </w:trPr>
        <w:tc>
          <w:tcPr>
            <w:tcW w:w="6379" w:type="dxa"/>
            <w:tcBorders>
              <w:top w:val="nil"/>
              <w:left w:val="single" w:sz="4" w:space="0" w:color="000000"/>
              <w:bottom w:val="single" w:sz="4" w:space="0" w:color="000000"/>
              <w:right w:val="single" w:sz="4" w:space="0" w:color="000000"/>
            </w:tcBorders>
            <w:shd w:val="clear" w:color="auto" w:fill="auto"/>
            <w:vAlign w:val="center"/>
          </w:tcPr>
          <w:p w14:paraId="70255E4F" w14:textId="77777777" w:rsidR="00737083" w:rsidRPr="00AC559F" w:rsidRDefault="00260792">
            <w:pPr>
              <w:spacing w:line="240" w:lineRule="auto"/>
            </w:pPr>
            <w:r w:rsidRPr="00AC559F">
              <w:t> </w:t>
            </w:r>
          </w:p>
        </w:tc>
        <w:tc>
          <w:tcPr>
            <w:tcW w:w="1418" w:type="dxa"/>
            <w:vMerge/>
            <w:tcBorders>
              <w:top w:val="nil"/>
              <w:left w:val="single" w:sz="4" w:space="0" w:color="000000"/>
              <w:bottom w:val="single" w:sz="4" w:space="0" w:color="000000"/>
              <w:right w:val="single" w:sz="4" w:space="0" w:color="000000"/>
            </w:tcBorders>
            <w:shd w:val="clear" w:color="auto" w:fill="auto"/>
            <w:vAlign w:val="center"/>
          </w:tcPr>
          <w:p w14:paraId="649FFC3A" w14:textId="77777777" w:rsidR="00737083" w:rsidRPr="00AC559F" w:rsidRDefault="00737083">
            <w:pPr>
              <w:pBdr>
                <w:top w:val="nil"/>
                <w:left w:val="nil"/>
                <w:bottom w:val="nil"/>
                <w:right w:val="nil"/>
                <w:between w:val="nil"/>
              </w:pBdr>
              <w:spacing w:line="276" w:lineRule="auto"/>
              <w:jc w:val="left"/>
            </w:pP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14:paraId="689C284A" w14:textId="77777777" w:rsidR="00737083" w:rsidRPr="00AC559F" w:rsidRDefault="00737083">
            <w:pPr>
              <w:pBdr>
                <w:top w:val="nil"/>
                <w:left w:val="nil"/>
                <w:bottom w:val="nil"/>
                <w:right w:val="nil"/>
                <w:between w:val="nil"/>
              </w:pBdr>
              <w:spacing w:line="276" w:lineRule="auto"/>
              <w:jc w:val="left"/>
            </w:pPr>
          </w:p>
        </w:tc>
        <w:tc>
          <w:tcPr>
            <w:tcW w:w="3152" w:type="dxa"/>
            <w:vAlign w:val="center"/>
          </w:tcPr>
          <w:p w14:paraId="49C29C50" w14:textId="77777777" w:rsidR="00737083" w:rsidRPr="00AC559F" w:rsidRDefault="00737083">
            <w:pPr>
              <w:spacing w:line="240" w:lineRule="auto"/>
            </w:pPr>
          </w:p>
        </w:tc>
      </w:tr>
      <w:tr w:rsidR="00AC559F" w:rsidRPr="00AC559F" w14:paraId="10E86A66" w14:textId="77777777" w:rsidTr="00630D59">
        <w:trPr>
          <w:trHeight w:val="300"/>
        </w:trPr>
        <w:tc>
          <w:tcPr>
            <w:tcW w:w="921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84BA10" w14:textId="11B13DB6" w:rsidR="00737083" w:rsidRPr="00AC559F" w:rsidRDefault="00260792">
            <w:pPr>
              <w:spacing w:before="240" w:after="240" w:line="276" w:lineRule="auto"/>
              <w:rPr>
                <w:highlight w:val="white"/>
              </w:rPr>
            </w:pPr>
            <w:r w:rsidRPr="00AC559F">
              <w:t xml:space="preserve">Selgitus punkti 2.1 hinnangute kohta:  </w:t>
            </w:r>
            <w:r w:rsidRPr="00AC559F">
              <w:rPr>
                <w:highlight w:val="white"/>
              </w:rPr>
              <w:t>Olemasoleva olukorra ja projekti vajaduse põhjendatuses läbivalt viidetakse 2020 Sotsiaalministeeriumi uuringule „Klaasseinad ja klaaslagi Eesti IKT-s“, aastast 2021, mis tugineb Eurostati 2019. aasta andmetele. Värskeimate Eurostati andmete järgi oli naiste osalus IKT sektoris ja IKT-ga seotud ametitel 26,8% (EL-i keskmine 19,4%) ning see on viimasel kümnendil oluliselt tõusnud</w:t>
            </w:r>
            <w:r w:rsidR="00740AE9" w:rsidRPr="00AC559F">
              <w:rPr>
                <w:highlight w:val="white"/>
              </w:rPr>
              <w:t xml:space="preserve"> </w:t>
            </w:r>
            <w:r w:rsidR="00740AE9" w:rsidRPr="00AC559F">
              <w:rPr>
                <w:rStyle w:val="Allmrkuseviide"/>
                <w:highlight w:val="white"/>
              </w:rPr>
              <w:footnoteReference w:id="3"/>
            </w:r>
            <w:r w:rsidRPr="00AC559F">
              <w:rPr>
                <w:highlight w:val="white"/>
              </w:rPr>
              <w:t xml:space="preserve">. Värskemaid uuringuid ei ole olemasoleva </w:t>
            </w:r>
            <w:r w:rsidRPr="00AC559F">
              <w:rPr>
                <w:highlight w:val="white"/>
              </w:rPr>
              <w:lastRenderedPageBreak/>
              <w:t>olukorra kirjeldamisel kasutatud.</w:t>
            </w:r>
            <w:r w:rsidR="006C6AA2" w:rsidRPr="00AC559F">
              <w:rPr>
                <w:highlight w:val="white"/>
              </w:rPr>
              <w:t xml:space="preserve"> Hindajad soovitavad arvestada tegevuste elluviimisel ajakohasemat informatsiooni IKT sektoris toimuvast</w:t>
            </w:r>
            <w:r w:rsidR="00740AE9" w:rsidRPr="00AC559F">
              <w:rPr>
                <w:highlight w:val="white"/>
              </w:rPr>
              <w:t>, sh majanduslanguse mõju ning seika, et ka tasemeõppel IT õppinud isikutel on hetkel olulised raskused isegi praktikakoha leidmisega</w:t>
            </w:r>
            <w:r w:rsidR="00740AE9" w:rsidRPr="00AC559F">
              <w:rPr>
                <w:rStyle w:val="Allmrkuseviide"/>
                <w:highlight w:val="white"/>
              </w:rPr>
              <w:footnoteReference w:id="4"/>
            </w:r>
            <w:r w:rsidR="00740AE9" w:rsidRPr="00AC559F">
              <w:rPr>
                <w:highlight w:val="white"/>
              </w:rPr>
              <w:t>.</w:t>
            </w:r>
            <w:r w:rsidR="006C6AA2" w:rsidRPr="00AC559F">
              <w:rPr>
                <w:highlight w:val="white"/>
              </w:rPr>
              <w:t xml:space="preserve"> </w:t>
            </w:r>
          </w:p>
          <w:p w14:paraId="55094617" w14:textId="6C3E71ED" w:rsidR="006C6AA2" w:rsidRPr="00AC559F" w:rsidRDefault="006C6AA2" w:rsidP="006C6AA2">
            <w:pPr>
              <w:spacing w:before="240" w:after="240" w:line="276" w:lineRule="auto"/>
              <w:rPr>
                <w:highlight w:val="white"/>
              </w:rPr>
            </w:pPr>
            <w:r w:rsidRPr="00AC559F">
              <w:rPr>
                <w:highlight w:val="white"/>
              </w:rPr>
              <w:t xml:space="preserve">Siiski leiavad hindajad, et projekti sekkumisloogikal on teatud eelised. Kvaliteetse e-koolituse kaudu on võimalik sihtgrupi vajadustele paindlikult läheneda, luues õppimisvõimaluse ka neile, kel töö- või hoolduskohustuste tõttu on õppimise jaoks aja leidmine raskendatud. </w:t>
            </w:r>
          </w:p>
          <w:p w14:paraId="4D8867EA" w14:textId="5799213E" w:rsidR="006C6AA2" w:rsidRPr="00AC559F" w:rsidRDefault="006C6AA2">
            <w:pPr>
              <w:spacing w:before="240" w:after="240" w:line="276" w:lineRule="auto"/>
              <w:rPr>
                <w:highlight w:val="white"/>
              </w:rPr>
            </w:pPr>
            <w:r w:rsidRPr="00AC559F">
              <w:rPr>
                <w:highlight w:val="white"/>
              </w:rPr>
              <w:t xml:space="preserve">Samas on oluline taolise sekkumisloogika puhul tagada sihtgrupile piisav toetus- ja nõustamisprogramm, mis võtaks osalejate vajadusi arvesse ning maandaks e-koolituse iseloomust tulenevaid riske (sest iseseisva e- õppe eeldus on osalejate kõrge enesejuhtimise pädevus ning piisava keele- ja digioskuste olemasolu). Karjäärinõustamine ja võimaluste tutvustamine ning edulugude alusel innustamine on kindlasti toeks. </w:t>
            </w:r>
          </w:p>
          <w:p w14:paraId="1784ABC3" w14:textId="77777777" w:rsidR="00737083" w:rsidRPr="00AC559F" w:rsidRDefault="00AC559F">
            <w:pPr>
              <w:spacing w:before="240" w:after="240" w:line="276" w:lineRule="auto"/>
              <w:rPr>
                <w:highlight w:val="white"/>
              </w:rPr>
            </w:pPr>
            <w:r w:rsidRPr="00AC559F">
              <w:rPr>
                <w:noProof/>
              </w:rPr>
              <w:pict w14:anchorId="6A175AA3">
                <v:rect id="_x0000_i1025" alt="" style="width:451.3pt;height:.05pt;mso-width-percent:0;mso-height-percent:0;mso-width-percent:0;mso-height-percent:0" o:hralign="center" o:hrstd="t" o:hr="t" fillcolor="#a0a0a0" stroked="f"/>
              </w:pict>
            </w:r>
          </w:p>
          <w:p w14:paraId="327140D4" w14:textId="77777777" w:rsidR="00737083" w:rsidRPr="00AC559F" w:rsidRDefault="00737083" w:rsidP="00740AE9">
            <w:pPr>
              <w:spacing w:before="240" w:after="240" w:line="276" w:lineRule="auto"/>
              <w:rPr>
                <w:highlight w:val="white"/>
              </w:rPr>
            </w:pPr>
          </w:p>
        </w:tc>
        <w:tc>
          <w:tcPr>
            <w:tcW w:w="3152" w:type="dxa"/>
            <w:vAlign w:val="center"/>
          </w:tcPr>
          <w:p w14:paraId="3DD0DE2E" w14:textId="77777777" w:rsidR="00737083" w:rsidRPr="00AC559F" w:rsidRDefault="00737083">
            <w:pPr>
              <w:spacing w:line="240" w:lineRule="auto"/>
            </w:pPr>
          </w:p>
        </w:tc>
      </w:tr>
      <w:tr w:rsidR="00AC559F" w:rsidRPr="00AC559F" w14:paraId="36BCCA2C" w14:textId="77777777" w:rsidTr="00630D59">
        <w:trPr>
          <w:trHeight w:val="300"/>
        </w:trPr>
        <w:tc>
          <w:tcPr>
            <w:tcW w:w="921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467CCF" w14:textId="77777777" w:rsidR="00737083" w:rsidRPr="00AC559F" w:rsidRDefault="00737083">
            <w:pPr>
              <w:pBdr>
                <w:top w:val="nil"/>
                <w:left w:val="nil"/>
                <w:bottom w:val="nil"/>
                <w:right w:val="nil"/>
                <w:between w:val="nil"/>
              </w:pBdr>
              <w:spacing w:line="276" w:lineRule="auto"/>
              <w:jc w:val="left"/>
            </w:pPr>
          </w:p>
        </w:tc>
        <w:tc>
          <w:tcPr>
            <w:tcW w:w="3152" w:type="dxa"/>
            <w:tcBorders>
              <w:top w:val="nil"/>
              <w:left w:val="nil"/>
              <w:bottom w:val="nil"/>
              <w:right w:val="nil"/>
            </w:tcBorders>
            <w:shd w:val="clear" w:color="auto" w:fill="auto"/>
            <w:vAlign w:val="bottom"/>
          </w:tcPr>
          <w:p w14:paraId="0E2EDC0E" w14:textId="77777777" w:rsidR="00737083" w:rsidRPr="00AC559F" w:rsidRDefault="00737083">
            <w:pPr>
              <w:spacing w:line="240" w:lineRule="auto"/>
            </w:pPr>
          </w:p>
        </w:tc>
      </w:tr>
      <w:tr w:rsidR="00AC559F" w:rsidRPr="00AC559F" w14:paraId="3DCAF610" w14:textId="77777777" w:rsidTr="00630D59">
        <w:trPr>
          <w:trHeight w:val="300"/>
        </w:trPr>
        <w:tc>
          <w:tcPr>
            <w:tcW w:w="921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A4BF99" w14:textId="77777777" w:rsidR="00737083" w:rsidRPr="00AC559F" w:rsidRDefault="00737083">
            <w:pPr>
              <w:pBdr>
                <w:top w:val="nil"/>
                <w:left w:val="nil"/>
                <w:bottom w:val="nil"/>
                <w:right w:val="nil"/>
                <w:between w:val="nil"/>
              </w:pBdr>
              <w:spacing w:line="276" w:lineRule="auto"/>
              <w:jc w:val="left"/>
            </w:pPr>
          </w:p>
        </w:tc>
        <w:tc>
          <w:tcPr>
            <w:tcW w:w="3152" w:type="dxa"/>
            <w:tcBorders>
              <w:top w:val="nil"/>
              <w:left w:val="nil"/>
              <w:bottom w:val="nil"/>
              <w:right w:val="nil"/>
            </w:tcBorders>
            <w:shd w:val="clear" w:color="auto" w:fill="auto"/>
            <w:vAlign w:val="bottom"/>
          </w:tcPr>
          <w:p w14:paraId="6256FA3E" w14:textId="77777777" w:rsidR="00737083" w:rsidRPr="00AC559F" w:rsidRDefault="00737083">
            <w:pPr>
              <w:spacing w:line="240" w:lineRule="auto"/>
            </w:pPr>
          </w:p>
        </w:tc>
      </w:tr>
      <w:tr w:rsidR="00AC559F" w:rsidRPr="00AC559F" w14:paraId="7912729A" w14:textId="77777777" w:rsidTr="00630D59">
        <w:trPr>
          <w:trHeight w:val="70"/>
        </w:trPr>
        <w:tc>
          <w:tcPr>
            <w:tcW w:w="921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4E9FFA" w14:textId="77777777" w:rsidR="00737083" w:rsidRPr="00AC559F" w:rsidRDefault="00737083">
            <w:pPr>
              <w:pBdr>
                <w:top w:val="nil"/>
                <w:left w:val="nil"/>
                <w:bottom w:val="nil"/>
                <w:right w:val="nil"/>
                <w:between w:val="nil"/>
              </w:pBdr>
              <w:spacing w:line="276" w:lineRule="auto"/>
              <w:jc w:val="left"/>
            </w:pPr>
          </w:p>
        </w:tc>
        <w:tc>
          <w:tcPr>
            <w:tcW w:w="3152" w:type="dxa"/>
            <w:tcBorders>
              <w:top w:val="nil"/>
              <w:left w:val="nil"/>
              <w:bottom w:val="nil"/>
              <w:right w:val="nil"/>
            </w:tcBorders>
            <w:shd w:val="clear" w:color="auto" w:fill="auto"/>
            <w:vAlign w:val="bottom"/>
          </w:tcPr>
          <w:p w14:paraId="195BFD55" w14:textId="77777777" w:rsidR="00737083" w:rsidRPr="00AC559F" w:rsidRDefault="00737083">
            <w:pPr>
              <w:spacing w:line="240" w:lineRule="auto"/>
            </w:pPr>
          </w:p>
        </w:tc>
      </w:tr>
      <w:tr w:rsidR="00AC559F" w:rsidRPr="00AC559F" w14:paraId="15BBE5ED" w14:textId="77777777" w:rsidTr="00630D59">
        <w:trPr>
          <w:trHeight w:val="300"/>
        </w:trPr>
        <w:tc>
          <w:tcPr>
            <w:tcW w:w="6379" w:type="dxa"/>
            <w:tcBorders>
              <w:top w:val="nil"/>
              <w:left w:val="single" w:sz="4" w:space="0" w:color="000000"/>
              <w:bottom w:val="nil"/>
              <w:right w:val="single" w:sz="4" w:space="0" w:color="000000"/>
            </w:tcBorders>
            <w:shd w:val="clear" w:color="auto" w:fill="auto"/>
            <w:vAlign w:val="center"/>
          </w:tcPr>
          <w:p w14:paraId="53C37E26" w14:textId="77777777" w:rsidR="00737083" w:rsidRPr="00AC559F" w:rsidRDefault="00260792">
            <w:pPr>
              <w:spacing w:line="240" w:lineRule="auto"/>
            </w:pPr>
            <w:r w:rsidRPr="00AC559F">
              <w:t>2.2. Projekti riskianalüüs (välised ja sisemised riskid)</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tcPr>
          <w:p w14:paraId="0DCB498E" w14:textId="77777777" w:rsidR="00737083" w:rsidRPr="00AC559F" w:rsidRDefault="00260792">
            <w:pPr>
              <w:spacing w:line="240" w:lineRule="auto"/>
              <w:jc w:val="center"/>
            </w:pPr>
            <w:r w:rsidRPr="00AC559F">
              <w:t> 2</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tcPr>
          <w:p w14:paraId="4AD18695" w14:textId="77777777" w:rsidR="00737083" w:rsidRPr="00AC559F" w:rsidRDefault="00260792">
            <w:pPr>
              <w:spacing w:line="240" w:lineRule="auto"/>
              <w:jc w:val="center"/>
            </w:pPr>
            <w:r w:rsidRPr="00AC559F">
              <w:t>1 </w:t>
            </w:r>
          </w:p>
        </w:tc>
        <w:tc>
          <w:tcPr>
            <w:tcW w:w="3152" w:type="dxa"/>
            <w:vAlign w:val="center"/>
          </w:tcPr>
          <w:p w14:paraId="6324CC3B" w14:textId="77777777" w:rsidR="00737083" w:rsidRPr="00AC559F" w:rsidRDefault="00737083">
            <w:pPr>
              <w:spacing w:line="240" w:lineRule="auto"/>
            </w:pPr>
          </w:p>
        </w:tc>
      </w:tr>
      <w:tr w:rsidR="00AC559F" w:rsidRPr="00AC559F" w14:paraId="3DF86307" w14:textId="77777777" w:rsidTr="00630D59">
        <w:trPr>
          <w:trHeight w:val="300"/>
        </w:trPr>
        <w:tc>
          <w:tcPr>
            <w:tcW w:w="6379" w:type="dxa"/>
            <w:tcBorders>
              <w:top w:val="nil"/>
              <w:left w:val="single" w:sz="4" w:space="0" w:color="000000"/>
              <w:bottom w:val="nil"/>
              <w:right w:val="single" w:sz="4" w:space="0" w:color="000000"/>
            </w:tcBorders>
            <w:shd w:val="clear" w:color="auto" w:fill="auto"/>
            <w:vAlign w:val="center"/>
          </w:tcPr>
          <w:p w14:paraId="64707D8D" w14:textId="77777777" w:rsidR="00737083" w:rsidRPr="00AC559F" w:rsidRDefault="00260792">
            <w:pPr>
              <w:spacing w:line="240" w:lineRule="auto"/>
              <w:rPr>
                <w:i/>
              </w:rPr>
            </w:pPr>
            <w:r w:rsidRPr="00AC559F">
              <w:rPr>
                <w:i/>
              </w:rPr>
              <w:t>(e-toetuse taotlusvormi sisu alajaotuse andmeväljad „riskianalüüs“ ja „tegevused“)</w:t>
            </w:r>
          </w:p>
        </w:tc>
        <w:tc>
          <w:tcPr>
            <w:tcW w:w="1418" w:type="dxa"/>
            <w:vMerge/>
            <w:tcBorders>
              <w:top w:val="nil"/>
              <w:left w:val="single" w:sz="4" w:space="0" w:color="000000"/>
              <w:bottom w:val="single" w:sz="4" w:space="0" w:color="000000"/>
              <w:right w:val="single" w:sz="4" w:space="0" w:color="000000"/>
            </w:tcBorders>
            <w:shd w:val="clear" w:color="auto" w:fill="auto"/>
            <w:vAlign w:val="center"/>
          </w:tcPr>
          <w:p w14:paraId="4A8D7CDD" w14:textId="77777777" w:rsidR="00737083" w:rsidRPr="00AC559F" w:rsidRDefault="00737083">
            <w:pPr>
              <w:pBdr>
                <w:top w:val="nil"/>
                <w:left w:val="nil"/>
                <w:bottom w:val="nil"/>
                <w:right w:val="nil"/>
                <w:between w:val="nil"/>
              </w:pBdr>
              <w:spacing w:line="276" w:lineRule="auto"/>
              <w:jc w:val="left"/>
              <w:rPr>
                <w:i/>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14:paraId="30FC00AE" w14:textId="77777777" w:rsidR="00737083" w:rsidRPr="00AC559F" w:rsidRDefault="00737083">
            <w:pPr>
              <w:pBdr>
                <w:top w:val="nil"/>
                <w:left w:val="nil"/>
                <w:bottom w:val="nil"/>
                <w:right w:val="nil"/>
                <w:between w:val="nil"/>
              </w:pBdr>
              <w:spacing w:line="276" w:lineRule="auto"/>
              <w:jc w:val="left"/>
              <w:rPr>
                <w:i/>
              </w:rPr>
            </w:pPr>
          </w:p>
        </w:tc>
        <w:tc>
          <w:tcPr>
            <w:tcW w:w="3152" w:type="dxa"/>
            <w:vAlign w:val="center"/>
          </w:tcPr>
          <w:p w14:paraId="4EB2D73F" w14:textId="77777777" w:rsidR="00737083" w:rsidRPr="00AC559F" w:rsidRDefault="00737083">
            <w:pPr>
              <w:spacing w:line="240" w:lineRule="auto"/>
            </w:pPr>
          </w:p>
        </w:tc>
      </w:tr>
      <w:tr w:rsidR="00AC559F" w:rsidRPr="00AC559F" w14:paraId="4557BB75" w14:textId="77777777" w:rsidTr="00630D59">
        <w:trPr>
          <w:trHeight w:val="300"/>
        </w:trPr>
        <w:tc>
          <w:tcPr>
            <w:tcW w:w="6379" w:type="dxa"/>
            <w:tcBorders>
              <w:top w:val="nil"/>
              <w:left w:val="single" w:sz="4" w:space="0" w:color="000000"/>
              <w:bottom w:val="single" w:sz="4" w:space="0" w:color="000000"/>
              <w:right w:val="single" w:sz="4" w:space="0" w:color="000000"/>
            </w:tcBorders>
            <w:shd w:val="clear" w:color="auto" w:fill="auto"/>
            <w:vAlign w:val="center"/>
          </w:tcPr>
          <w:p w14:paraId="7CFBE6E5" w14:textId="77777777" w:rsidR="00737083" w:rsidRPr="00AC559F" w:rsidRDefault="00260792">
            <w:pPr>
              <w:spacing w:line="240" w:lineRule="auto"/>
            </w:pPr>
            <w:r w:rsidRPr="00AC559F">
              <w:t> </w:t>
            </w:r>
          </w:p>
        </w:tc>
        <w:tc>
          <w:tcPr>
            <w:tcW w:w="1418" w:type="dxa"/>
            <w:vMerge/>
            <w:tcBorders>
              <w:top w:val="nil"/>
              <w:left w:val="single" w:sz="4" w:space="0" w:color="000000"/>
              <w:bottom w:val="single" w:sz="4" w:space="0" w:color="000000"/>
              <w:right w:val="single" w:sz="4" w:space="0" w:color="000000"/>
            </w:tcBorders>
            <w:shd w:val="clear" w:color="auto" w:fill="auto"/>
            <w:vAlign w:val="center"/>
          </w:tcPr>
          <w:p w14:paraId="66D5D9D9" w14:textId="77777777" w:rsidR="00737083" w:rsidRPr="00AC559F" w:rsidRDefault="00737083">
            <w:pPr>
              <w:pBdr>
                <w:top w:val="nil"/>
                <w:left w:val="nil"/>
                <w:bottom w:val="nil"/>
                <w:right w:val="nil"/>
                <w:between w:val="nil"/>
              </w:pBdr>
              <w:spacing w:line="276" w:lineRule="auto"/>
              <w:jc w:val="left"/>
            </w:pP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14:paraId="35134102" w14:textId="77777777" w:rsidR="00737083" w:rsidRPr="00AC559F" w:rsidRDefault="00737083">
            <w:pPr>
              <w:pBdr>
                <w:top w:val="nil"/>
                <w:left w:val="nil"/>
                <w:bottom w:val="nil"/>
                <w:right w:val="nil"/>
                <w:between w:val="nil"/>
              </w:pBdr>
              <w:spacing w:line="276" w:lineRule="auto"/>
              <w:jc w:val="left"/>
            </w:pPr>
          </w:p>
        </w:tc>
        <w:tc>
          <w:tcPr>
            <w:tcW w:w="3152" w:type="dxa"/>
            <w:vAlign w:val="center"/>
          </w:tcPr>
          <w:p w14:paraId="3EB1C823" w14:textId="77777777" w:rsidR="00737083" w:rsidRPr="00AC559F" w:rsidRDefault="00737083">
            <w:pPr>
              <w:spacing w:line="240" w:lineRule="auto"/>
            </w:pPr>
          </w:p>
        </w:tc>
      </w:tr>
      <w:tr w:rsidR="00AC559F" w:rsidRPr="00AC559F" w14:paraId="13561967" w14:textId="77777777" w:rsidTr="00630D59">
        <w:trPr>
          <w:trHeight w:val="300"/>
        </w:trPr>
        <w:tc>
          <w:tcPr>
            <w:tcW w:w="921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BF620D" w14:textId="77777777" w:rsidR="00737083" w:rsidRPr="00AC559F" w:rsidRDefault="00260792">
            <w:pPr>
              <w:spacing w:line="240" w:lineRule="auto"/>
            </w:pPr>
            <w:r w:rsidRPr="00AC559F">
              <w:t>Selgitus punkti 2.2 hinnangute kohta:</w:t>
            </w:r>
          </w:p>
          <w:p w14:paraId="2B3F1F18" w14:textId="77777777" w:rsidR="004B113B" w:rsidRPr="00AC559F" w:rsidRDefault="004B113B">
            <w:pPr>
              <w:spacing w:line="240" w:lineRule="auto"/>
            </w:pPr>
          </w:p>
          <w:p w14:paraId="3C17A096" w14:textId="320E301A" w:rsidR="00737083" w:rsidRPr="00AC559F" w:rsidRDefault="00260792" w:rsidP="00444BDC">
            <w:pPr>
              <w:spacing w:line="240" w:lineRule="auto"/>
            </w:pPr>
            <w:r w:rsidRPr="00AC559F">
              <w:t xml:space="preserve">Taotluses kirjeldatud riskid ja maandamistegevused on </w:t>
            </w:r>
            <w:r w:rsidR="00444BDC" w:rsidRPr="00AC559F">
              <w:t xml:space="preserve">küll </w:t>
            </w:r>
            <w:r w:rsidRPr="00AC559F">
              <w:t>asjakohased</w:t>
            </w:r>
            <w:r w:rsidR="00444BDC" w:rsidRPr="00AC559F">
              <w:t xml:space="preserve">, kuid </w:t>
            </w:r>
            <w:r w:rsidRPr="00AC559F">
              <w:t>taotlus</w:t>
            </w:r>
            <w:r w:rsidR="001F6ACB" w:rsidRPr="00AC559F">
              <w:t xml:space="preserve"> ei sisalda</w:t>
            </w:r>
            <w:r w:rsidRPr="00AC559F">
              <w:t xml:space="preserve"> kõiki projekti elluviimise seisukohast oluliste riskide kaardistust ja maandamistegevusi. Taotluse hindajad leiavad, et olulis</w:t>
            </w:r>
            <w:r w:rsidR="00222DB0" w:rsidRPr="00AC559F">
              <w:t>t</w:t>
            </w:r>
            <w:r w:rsidRPr="00AC559F">
              <w:t>e riskina on kaardistamata ja maandamata:</w:t>
            </w:r>
          </w:p>
          <w:p w14:paraId="19547038" w14:textId="77777777" w:rsidR="000E1A0F" w:rsidRPr="00AC559F" w:rsidRDefault="000E1A0F" w:rsidP="00444BDC">
            <w:pPr>
              <w:spacing w:line="240" w:lineRule="auto"/>
            </w:pPr>
          </w:p>
          <w:p w14:paraId="71786F88" w14:textId="73DE852A" w:rsidR="00737083" w:rsidRPr="00AC559F" w:rsidRDefault="00260792">
            <w:pPr>
              <w:numPr>
                <w:ilvl w:val="0"/>
                <w:numId w:val="1"/>
              </w:numPr>
              <w:spacing w:line="240" w:lineRule="auto"/>
            </w:pPr>
            <w:r w:rsidRPr="00AC559F">
              <w:t>Hinnarisk, sest üle poole projekti eelarvest moodustavad sisseostetavad teenused (Coursera litsentsid</w:t>
            </w:r>
            <w:r w:rsidR="001F6ACB" w:rsidRPr="00AC559F">
              <w:t xml:space="preserve">, infopäevade korraldamine, lisakoolitused, inspiratsiooni esinejate </w:t>
            </w:r>
            <w:r w:rsidRPr="00AC559F">
              <w:t xml:space="preserve"> ja karjäärimentorite teenused). Viidatakse Coursera hinnapakkumisele ning asjaolule, et litsentsid tuleb osta igal aastal. Võimalikku hindade kallinemist </w:t>
            </w:r>
            <w:r w:rsidR="001F6ACB" w:rsidRPr="00AC559F">
              <w:t xml:space="preserve">aga </w:t>
            </w:r>
            <w:r w:rsidRPr="00AC559F">
              <w:t xml:space="preserve">ette nähtud ei ole, </w:t>
            </w:r>
            <w:r w:rsidR="006C6AA2" w:rsidRPr="00AC559F">
              <w:t>mis on oluline risk</w:t>
            </w:r>
            <w:r w:rsidR="00444BDC" w:rsidRPr="00AC559F">
              <w:t xml:space="preserve"> (nii Coursera kursuste kui ka kohalike teenusepakkujatega sõlmitavate</w:t>
            </w:r>
            <w:r w:rsidR="001F6ACB" w:rsidRPr="00AC559F">
              <w:t xml:space="preserve"> </w:t>
            </w:r>
            <w:r w:rsidR="00444BDC" w:rsidRPr="00AC559F">
              <w:t>lepingute puhul)</w:t>
            </w:r>
            <w:r w:rsidR="006C6AA2" w:rsidRPr="00AC559F">
              <w:t xml:space="preserve">, </w:t>
            </w:r>
            <w:r w:rsidRPr="00AC559F">
              <w:t xml:space="preserve">arvestades projekti </w:t>
            </w:r>
            <w:r w:rsidR="006C6AA2" w:rsidRPr="00AC559F">
              <w:t>kolme</w:t>
            </w:r>
            <w:r w:rsidRPr="00AC559F">
              <w:t>aastast perioodi</w:t>
            </w:r>
            <w:r w:rsidR="006C6AA2" w:rsidRPr="00AC559F">
              <w:t>, millesse jääavad sisse olulised maksutõusud (nii tulumaks</w:t>
            </w:r>
            <w:r w:rsidR="001F6ACB" w:rsidRPr="00AC559F">
              <w:t>u</w:t>
            </w:r>
            <w:r w:rsidR="006C6AA2" w:rsidRPr="00AC559F">
              <w:t xml:space="preserve"> </w:t>
            </w:r>
            <w:r w:rsidR="001F6ACB" w:rsidRPr="00AC559F">
              <w:t xml:space="preserve">tõus </w:t>
            </w:r>
            <w:r w:rsidR="006C6AA2" w:rsidRPr="00AC559F">
              <w:t xml:space="preserve">kui ka </w:t>
            </w:r>
            <w:r w:rsidR="001F6ACB" w:rsidRPr="00AC559F">
              <w:t>käibemaksu tõus</w:t>
            </w:r>
            <w:r w:rsidR="006C6AA2" w:rsidRPr="00AC559F">
              <w:t xml:space="preserve"> 24%</w:t>
            </w:r>
            <w:r w:rsidR="001F6ACB" w:rsidRPr="00AC559F">
              <w:t xml:space="preserve">-ni </w:t>
            </w:r>
            <w:r w:rsidR="006C6AA2" w:rsidRPr="00AC559F">
              <w:t xml:space="preserve"> 1. juulist 2025)  ning </w:t>
            </w:r>
            <w:r w:rsidR="00FF549F" w:rsidRPr="00AC559F">
              <w:t xml:space="preserve">sellest tingitud </w:t>
            </w:r>
            <w:r w:rsidR="001F6ACB" w:rsidRPr="00AC559F">
              <w:t>hinnakasv</w:t>
            </w:r>
            <w:r w:rsidRPr="00AC559F">
              <w:t>.  Hindajatele jäi ka silma asjaolu, et  Coursera litsentside ostu eelarves viidetakse 20%-lise käibemaksumääraga tehtud Coursera hinnapakkumisele (1. jaanuarist 2024 on Eestis käibemaksumäär 22%).</w:t>
            </w:r>
          </w:p>
          <w:p w14:paraId="41AC9D31" w14:textId="56CE51F7" w:rsidR="00F67BAA" w:rsidRPr="00AC559F" w:rsidRDefault="00F67BAA">
            <w:pPr>
              <w:numPr>
                <w:ilvl w:val="0"/>
                <w:numId w:val="1"/>
              </w:numPr>
              <w:spacing w:line="240" w:lineRule="auto"/>
            </w:pPr>
            <w:r w:rsidRPr="00AC559F">
              <w:t xml:space="preserve">Töö- või praktikakohtade riski maandamise kirjeldus on üldsõnaline, mainides erinevaid koostööpartnereid, kellega koostöös pakutakse karjäärinõustamist ja toetust tööotsinguil, kuid partnerluskokkuleppeid ja selget rollijaotust partnerite vahel ei ole </w:t>
            </w:r>
            <w:r w:rsidRPr="00AC559F">
              <w:lastRenderedPageBreak/>
              <w:t xml:space="preserve">riski maandamiseks tehtud. </w:t>
            </w:r>
          </w:p>
          <w:p w14:paraId="2FE91158" w14:textId="77777777" w:rsidR="000E1A0F" w:rsidRPr="00AC559F" w:rsidRDefault="000E1A0F" w:rsidP="00226F02">
            <w:pPr>
              <w:spacing w:line="240" w:lineRule="auto"/>
            </w:pPr>
          </w:p>
          <w:p w14:paraId="345BBAD4" w14:textId="3AA7969E" w:rsidR="00737083" w:rsidRPr="00AC559F" w:rsidRDefault="00354C96">
            <w:pPr>
              <w:numPr>
                <w:ilvl w:val="0"/>
                <w:numId w:val="1"/>
              </w:numPr>
              <w:spacing w:line="240" w:lineRule="auto"/>
            </w:pPr>
            <w:r w:rsidRPr="00AC559F">
              <w:t>Ei ole välja toodud k</w:t>
            </w:r>
            <w:r w:rsidR="004A2ED9" w:rsidRPr="00AC559F">
              <w:t>uivõrd</w:t>
            </w:r>
            <w:r w:rsidRPr="00AC559F">
              <w:t xml:space="preserve"> läbitav</w:t>
            </w:r>
            <w:r w:rsidR="00222DB0" w:rsidRPr="00AC559F">
              <w:t>a</w:t>
            </w:r>
            <w:r w:rsidRPr="00AC559F">
              <w:t>d kursused sobivad Eesti spetsiifiliste tööturu vajadustele tööandjatele, sh kas täieliku veebipõhise koolitusega saavutatavad oskused vastavad Eesti tööandjate ootustele</w:t>
            </w:r>
            <w:r w:rsidR="000E1A0F" w:rsidRPr="00AC559F">
              <w:t>.</w:t>
            </w:r>
            <w:r w:rsidR="00125BD7" w:rsidRPr="00AC559F">
              <w:t xml:space="preserve"> </w:t>
            </w:r>
          </w:p>
          <w:p w14:paraId="02BCF607" w14:textId="77777777" w:rsidR="000E1A0F" w:rsidRPr="00AC559F" w:rsidRDefault="000E1A0F" w:rsidP="00226F02">
            <w:pPr>
              <w:spacing w:line="240" w:lineRule="auto"/>
            </w:pPr>
          </w:p>
          <w:p w14:paraId="3E1B2BC3" w14:textId="2CB21241" w:rsidR="00737083" w:rsidRPr="00AC559F" w:rsidRDefault="00260792">
            <w:pPr>
              <w:numPr>
                <w:ilvl w:val="0"/>
                <w:numId w:val="1"/>
              </w:numPr>
              <w:spacing w:line="240" w:lineRule="auto"/>
            </w:pPr>
            <w:r w:rsidRPr="00AC559F">
              <w:t>E-kursuse katkestamise riski maandamiseks on kavandatud lisategevusi</w:t>
            </w:r>
            <w:r w:rsidR="00F67BAA" w:rsidRPr="00AC559F">
              <w:t>,</w:t>
            </w:r>
            <w:r w:rsidRPr="00AC559F">
              <w:t xml:space="preserve"> kuid  need  on samuti virtuaalsed kohtumised. Veebipõhine õpe on paindlikum, majanduslikult säästlikum, kuid </w:t>
            </w:r>
            <w:r w:rsidR="00354C96" w:rsidRPr="00AC559F">
              <w:t xml:space="preserve">juba eeldab väga head inglise keele oskust, enesejuhtimise oskust ja häid digikirjaoskusi ning </w:t>
            </w:r>
            <w:r w:rsidRPr="00AC559F">
              <w:t>ei pruugi kõigile oskuste omandamiseks sobida</w:t>
            </w:r>
            <w:r w:rsidR="00354C96" w:rsidRPr="00AC559F">
              <w:t>.</w:t>
            </w:r>
          </w:p>
          <w:p w14:paraId="5AB52845" w14:textId="77777777" w:rsidR="000E1A0F" w:rsidRPr="00AC559F" w:rsidRDefault="000E1A0F" w:rsidP="00226F02">
            <w:pPr>
              <w:spacing w:line="240" w:lineRule="auto"/>
            </w:pPr>
          </w:p>
          <w:p w14:paraId="336A9C07" w14:textId="48252457" w:rsidR="00737083" w:rsidRPr="00AC559F" w:rsidRDefault="00260792">
            <w:pPr>
              <w:numPr>
                <w:ilvl w:val="0"/>
                <w:numId w:val="1"/>
              </w:numPr>
              <w:spacing w:line="240" w:lineRule="auto"/>
            </w:pPr>
            <w:r w:rsidRPr="00AC559F">
              <w:rPr>
                <w:shd w:val="clear" w:color="auto" w:fill="F8F8F8"/>
              </w:rPr>
              <w:t xml:space="preserve">Programmis eeldatakse,  </w:t>
            </w:r>
            <w:r w:rsidRPr="00AC559F">
              <w:t xml:space="preserve">et osalejal on olemas digivahend </w:t>
            </w:r>
            <w:r w:rsidR="00FF549F" w:rsidRPr="00AC559F">
              <w:t>ja</w:t>
            </w:r>
            <w:r w:rsidRPr="00AC559F">
              <w:t xml:space="preserve"> korralik </w:t>
            </w:r>
            <w:r w:rsidR="0087458C" w:rsidRPr="00AC559F">
              <w:t>i</w:t>
            </w:r>
            <w:r w:rsidR="00FF549F" w:rsidRPr="00AC559F">
              <w:t xml:space="preserve">nterneti </w:t>
            </w:r>
            <w:r w:rsidRPr="00AC559F">
              <w:t>püsiühendus. Meetmeid ei ole ette nähtud lahendamaks olukorda, kus need tingimused ei ole täidetud.</w:t>
            </w:r>
          </w:p>
          <w:p w14:paraId="1BF07743" w14:textId="77777777" w:rsidR="00737083" w:rsidRPr="00AC559F" w:rsidRDefault="00737083">
            <w:pPr>
              <w:spacing w:line="240" w:lineRule="auto"/>
            </w:pPr>
          </w:p>
        </w:tc>
        <w:tc>
          <w:tcPr>
            <w:tcW w:w="3152" w:type="dxa"/>
            <w:vAlign w:val="center"/>
          </w:tcPr>
          <w:p w14:paraId="731BFA16" w14:textId="77777777" w:rsidR="00737083" w:rsidRPr="00AC559F" w:rsidRDefault="00737083">
            <w:pPr>
              <w:spacing w:line="240" w:lineRule="auto"/>
            </w:pPr>
          </w:p>
        </w:tc>
      </w:tr>
      <w:tr w:rsidR="00AC559F" w:rsidRPr="00AC559F" w14:paraId="54DB3F7D" w14:textId="77777777" w:rsidTr="00630D59">
        <w:trPr>
          <w:trHeight w:val="300"/>
        </w:trPr>
        <w:tc>
          <w:tcPr>
            <w:tcW w:w="921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193E2F" w14:textId="77777777" w:rsidR="00737083" w:rsidRPr="00AC559F" w:rsidRDefault="00737083">
            <w:pPr>
              <w:pBdr>
                <w:top w:val="nil"/>
                <w:left w:val="nil"/>
                <w:bottom w:val="nil"/>
                <w:right w:val="nil"/>
                <w:between w:val="nil"/>
              </w:pBdr>
              <w:spacing w:line="276" w:lineRule="auto"/>
              <w:jc w:val="left"/>
            </w:pPr>
          </w:p>
        </w:tc>
        <w:tc>
          <w:tcPr>
            <w:tcW w:w="3152" w:type="dxa"/>
            <w:tcBorders>
              <w:top w:val="nil"/>
              <w:left w:val="nil"/>
              <w:bottom w:val="nil"/>
              <w:right w:val="nil"/>
            </w:tcBorders>
            <w:shd w:val="clear" w:color="auto" w:fill="auto"/>
            <w:vAlign w:val="bottom"/>
          </w:tcPr>
          <w:p w14:paraId="08739301" w14:textId="77777777" w:rsidR="00737083" w:rsidRPr="00AC559F" w:rsidRDefault="00737083">
            <w:pPr>
              <w:spacing w:line="240" w:lineRule="auto"/>
            </w:pPr>
          </w:p>
        </w:tc>
      </w:tr>
      <w:tr w:rsidR="00AC559F" w:rsidRPr="00AC559F" w14:paraId="7974DAA9" w14:textId="77777777" w:rsidTr="00630D59">
        <w:trPr>
          <w:trHeight w:val="300"/>
        </w:trPr>
        <w:tc>
          <w:tcPr>
            <w:tcW w:w="6379" w:type="dxa"/>
            <w:tcBorders>
              <w:top w:val="nil"/>
              <w:left w:val="single" w:sz="4" w:space="0" w:color="000000"/>
              <w:bottom w:val="nil"/>
              <w:right w:val="single" w:sz="4" w:space="0" w:color="000000"/>
            </w:tcBorders>
            <w:shd w:val="clear" w:color="auto" w:fill="auto"/>
            <w:vAlign w:val="center"/>
          </w:tcPr>
          <w:p w14:paraId="7A1F8C1A" w14:textId="77777777" w:rsidR="00737083" w:rsidRPr="00AC559F" w:rsidRDefault="00260792">
            <w:pPr>
              <w:spacing w:line="240" w:lineRule="auto"/>
            </w:pPr>
            <w:r w:rsidRPr="00AC559F">
              <w:t>2.3. Projekti tegevuste elluviimiseks kaasatud partnerid ja koostööpartnerid</w:t>
            </w:r>
          </w:p>
          <w:p w14:paraId="274EBEA7" w14:textId="77777777" w:rsidR="00737083" w:rsidRPr="00AC559F" w:rsidRDefault="00260792">
            <w:pPr>
              <w:spacing w:line="240" w:lineRule="auto"/>
              <w:rPr>
                <w:i/>
              </w:rPr>
            </w:pPr>
            <w:r w:rsidRPr="00AC559F">
              <w:rPr>
                <w:i/>
              </w:rPr>
              <w:t>(e-toetuse taotlusvormi alajaotus „partnerid“, „tegevused“ ja taotlusvormi lisa 3 „Partneri kinnituskiri“)</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tcPr>
          <w:p w14:paraId="12F4D43A" w14:textId="77777777" w:rsidR="00737083" w:rsidRPr="00AC559F" w:rsidRDefault="00260792">
            <w:pPr>
              <w:spacing w:line="240" w:lineRule="auto"/>
              <w:jc w:val="center"/>
            </w:pPr>
            <w:r w:rsidRPr="00AC559F">
              <w:t>3 </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tcPr>
          <w:p w14:paraId="557E7A74" w14:textId="77777777" w:rsidR="00737083" w:rsidRPr="00AC559F" w:rsidRDefault="00260792">
            <w:pPr>
              <w:spacing w:line="240" w:lineRule="auto"/>
              <w:jc w:val="center"/>
            </w:pPr>
            <w:r w:rsidRPr="00AC559F">
              <w:t>0 </w:t>
            </w:r>
          </w:p>
        </w:tc>
        <w:tc>
          <w:tcPr>
            <w:tcW w:w="3152" w:type="dxa"/>
            <w:vAlign w:val="center"/>
          </w:tcPr>
          <w:p w14:paraId="702C959F" w14:textId="77777777" w:rsidR="00737083" w:rsidRPr="00AC559F" w:rsidRDefault="00737083">
            <w:pPr>
              <w:spacing w:line="240" w:lineRule="auto"/>
            </w:pPr>
          </w:p>
        </w:tc>
      </w:tr>
      <w:tr w:rsidR="00AC559F" w:rsidRPr="00AC559F" w14:paraId="28867575" w14:textId="77777777" w:rsidTr="00630D59">
        <w:trPr>
          <w:trHeight w:val="300"/>
        </w:trPr>
        <w:tc>
          <w:tcPr>
            <w:tcW w:w="6379" w:type="dxa"/>
            <w:tcBorders>
              <w:top w:val="nil"/>
              <w:left w:val="single" w:sz="4" w:space="0" w:color="000000"/>
              <w:bottom w:val="single" w:sz="4" w:space="0" w:color="000000"/>
              <w:right w:val="single" w:sz="4" w:space="0" w:color="000000"/>
            </w:tcBorders>
            <w:shd w:val="clear" w:color="auto" w:fill="auto"/>
            <w:vAlign w:val="center"/>
          </w:tcPr>
          <w:p w14:paraId="12F586CC" w14:textId="77777777" w:rsidR="00737083" w:rsidRPr="00AC559F" w:rsidRDefault="00260792">
            <w:pPr>
              <w:spacing w:line="240" w:lineRule="auto"/>
            </w:pPr>
            <w:r w:rsidRPr="00AC559F">
              <w:t> </w:t>
            </w:r>
          </w:p>
        </w:tc>
        <w:tc>
          <w:tcPr>
            <w:tcW w:w="1418" w:type="dxa"/>
            <w:vMerge/>
            <w:tcBorders>
              <w:top w:val="nil"/>
              <w:left w:val="single" w:sz="4" w:space="0" w:color="000000"/>
              <w:bottom w:val="single" w:sz="4" w:space="0" w:color="000000"/>
              <w:right w:val="single" w:sz="4" w:space="0" w:color="000000"/>
            </w:tcBorders>
            <w:shd w:val="clear" w:color="auto" w:fill="auto"/>
            <w:vAlign w:val="center"/>
          </w:tcPr>
          <w:p w14:paraId="70410E42" w14:textId="77777777" w:rsidR="00737083" w:rsidRPr="00AC559F" w:rsidRDefault="00737083">
            <w:pPr>
              <w:pBdr>
                <w:top w:val="nil"/>
                <w:left w:val="nil"/>
                <w:bottom w:val="nil"/>
                <w:right w:val="nil"/>
                <w:between w:val="nil"/>
              </w:pBdr>
              <w:spacing w:line="276" w:lineRule="auto"/>
              <w:jc w:val="left"/>
            </w:pP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14:paraId="0ACCE521" w14:textId="77777777" w:rsidR="00737083" w:rsidRPr="00AC559F" w:rsidRDefault="00737083">
            <w:pPr>
              <w:pBdr>
                <w:top w:val="nil"/>
                <w:left w:val="nil"/>
                <w:bottom w:val="nil"/>
                <w:right w:val="nil"/>
                <w:between w:val="nil"/>
              </w:pBdr>
              <w:spacing w:line="276" w:lineRule="auto"/>
              <w:jc w:val="left"/>
            </w:pPr>
          </w:p>
        </w:tc>
        <w:tc>
          <w:tcPr>
            <w:tcW w:w="3152" w:type="dxa"/>
            <w:vAlign w:val="center"/>
          </w:tcPr>
          <w:p w14:paraId="717ECCDF" w14:textId="77777777" w:rsidR="00737083" w:rsidRPr="00AC559F" w:rsidRDefault="00737083">
            <w:pPr>
              <w:spacing w:line="240" w:lineRule="auto"/>
            </w:pPr>
          </w:p>
        </w:tc>
      </w:tr>
      <w:tr w:rsidR="00AC559F" w:rsidRPr="00AC559F" w14:paraId="122B44D6" w14:textId="77777777" w:rsidTr="00630D59">
        <w:trPr>
          <w:trHeight w:val="300"/>
        </w:trPr>
        <w:tc>
          <w:tcPr>
            <w:tcW w:w="921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54D974" w14:textId="77777777" w:rsidR="00737083" w:rsidRPr="00AC559F" w:rsidRDefault="00260792">
            <w:pPr>
              <w:spacing w:line="240" w:lineRule="auto"/>
            </w:pPr>
            <w:r w:rsidRPr="00AC559F">
              <w:t>Selgitus punkti 2.3 hinnangute kohta:</w:t>
            </w:r>
          </w:p>
          <w:p w14:paraId="572709B6" w14:textId="77777777" w:rsidR="00737083" w:rsidRPr="00AC559F" w:rsidRDefault="00260792">
            <w:pPr>
              <w:spacing w:before="240" w:after="240" w:line="276" w:lineRule="auto"/>
            </w:pPr>
            <w:r w:rsidRPr="00AC559F">
              <w:t xml:space="preserve">Elluviimise vastutus lasub 100% taotlejal. Projekti ei ole kaasatud partnereid (partneri kinnituskirjad puuduvad). Projektitaotluse tekstis on välja toodud koostööpartnerid (ettevõtted, töötukassa, vaimse tervise nõustajad), kuid nende rolli ei ole avatud. Konkreetsete koostöökokkuleppe olemasolu või sisu taotlusest ei selgu. </w:t>
            </w:r>
          </w:p>
          <w:p w14:paraId="0FAC6B67" w14:textId="77777777" w:rsidR="00737083" w:rsidRPr="00AC559F" w:rsidRDefault="00737083">
            <w:pPr>
              <w:spacing w:line="240" w:lineRule="auto"/>
            </w:pPr>
          </w:p>
        </w:tc>
        <w:tc>
          <w:tcPr>
            <w:tcW w:w="3152" w:type="dxa"/>
            <w:vAlign w:val="center"/>
          </w:tcPr>
          <w:p w14:paraId="64A1118D" w14:textId="77777777" w:rsidR="00737083" w:rsidRPr="00AC559F" w:rsidRDefault="00737083">
            <w:pPr>
              <w:spacing w:line="240" w:lineRule="auto"/>
            </w:pPr>
          </w:p>
        </w:tc>
      </w:tr>
      <w:tr w:rsidR="00AC559F" w:rsidRPr="00AC559F" w14:paraId="1FF9D1C7" w14:textId="77777777" w:rsidTr="00630D59">
        <w:trPr>
          <w:trHeight w:val="300"/>
        </w:trPr>
        <w:tc>
          <w:tcPr>
            <w:tcW w:w="921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FC8DD3" w14:textId="77777777" w:rsidR="00737083" w:rsidRPr="00AC559F" w:rsidRDefault="00737083">
            <w:pPr>
              <w:pBdr>
                <w:top w:val="nil"/>
                <w:left w:val="nil"/>
                <w:bottom w:val="nil"/>
                <w:right w:val="nil"/>
                <w:between w:val="nil"/>
              </w:pBdr>
              <w:spacing w:line="276" w:lineRule="auto"/>
              <w:jc w:val="left"/>
            </w:pPr>
          </w:p>
        </w:tc>
        <w:tc>
          <w:tcPr>
            <w:tcW w:w="3152" w:type="dxa"/>
            <w:tcBorders>
              <w:top w:val="nil"/>
              <w:left w:val="nil"/>
              <w:bottom w:val="nil"/>
              <w:right w:val="nil"/>
            </w:tcBorders>
            <w:shd w:val="clear" w:color="auto" w:fill="auto"/>
            <w:vAlign w:val="bottom"/>
          </w:tcPr>
          <w:p w14:paraId="13D9A774" w14:textId="77777777" w:rsidR="00737083" w:rsidRPr="00AC559F" w:rsidRDefault="00737083">
            <w:pPr>
              <w:spacing w:line="240" w:lineRule="auto"/>
            </w:pPr>
          </w:p>
        </w:tc>
      </w:tr>
      <w:tr w:rsidR="00AC559F" w:rsidRPr="00AC559F" w14:paraId="2DE528DB" w14:textId="77777777" w:rsidTr="00630D59">
        <w:trPr>
          <w:trHeight w:val="300"/>
        </w:trPr>
        <w:tc>
          <w:tcPr>
            <w:tcW w:w="6379" w:type="dxa"/>
            <w:tcBorders>
              <w:top w:val="nil"/>
              <w:left w:val="single" w:sz="4" w:space="0" w:color="000000"/>
              <w:bottom w:val="nil"/>
              <w:right w:val="single" w:sz="4" w:space="0" w:color="000000"/>
            </w:tcBorders>
            <w:shd w:val="clear" w:color="auto" w:fill="auto"/>
            <w:vAlign w:val="center"/>
          </w:tcPr>
          <w:p w14:paraId="4DF18174" w14:textId="77777777" w:rsidR="00737083" w:rsidRPr="00AC559F" w:rsidRDefault="00260792">
            <w:pPr>
              <w:spacing w:line="240" w:lineRule="auto"/>
              <w:rPr>
                <w:b/>
              </w:rPr>
            </w:pPr>
            <w:r w:rsidRPr="00AC559F">
              <w:rPr>
                <w:b/>
              </w:rPr>
              <w:t>3. Projekti kuluefektiivsus</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027E4" w14:textId="77777777" w:rsidR="00737083" w:rsidRPr="00AC559F" w:rsidRDefault="00260792">
            <w:pPr>
              <w:spacing w:line="240" w:lineRule="auto"/>
              <w:jc w:val="center"/>
              <w:rPr>
                <w:b/>
              </w:rPr>
            </w:pPr>
            <w:r w:rsidRPr="00AC559F">
              <w:rPr>
                <w:b/>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72D1F" w14:textId="04076DD9" w:rsidR="00737083" w:rsidRPr="00AC559F" w:rsidRDefault="00260792">
            <w:pPr>
              <w:spacing w:line="240" w:lineRule="auto"/>
              <w:jc w:val="center"/>
            </w:pPr>
            <w:r w:rsidRPr="00AC559F">
              <w:t> </w:t>
            </w:r>
            <w:r w:rsidR="009F728D" w:rsidRPr="00AC559F">
              <w:t>4</w:t>
            </w:r>
          </w:p>
        </w:tc>
        <w:tc>
          <w:tcPr>
            <w:tcW w:w="3152" w:type="dxa"/>
            <w:tcBorders>
              <w:left w:val="single" w:sz="4" w:space="0" w:color="000000"/>
            </w:tcBorders>
            <w:vAlign w:val="center"/>
          </w:tcPr>
          <w:p w14:paraId="585AC930" w14:textId="77777777" w:rsidR="00737083" w:rsidRPr="00AC559F" w:rsidRDefault="00737083">
            <w:pPr>
              <w:spacing w:line="240" w:lineRule="auto"/>
            </w:pPr>
          </w:p>
        </w:tc>
      </w:tr>
      <w:tr w:rsidR="00AC559F" w:rsidRPr="00AC559F" w14:paraId="7FE481D6" w14:textId="77777777" w:rsidTr="00630D59">
        <w:trPr>
          <w:trHeight w:val="300"/>
        </w:trPr>
        <w:tc>
          <w:tcPr>
            <w:tcW w:w="6379" w:type="dxa"/>
            <w:tcBorders>
              <w:top w:val="single" w:sz="4" w:space="0" w:color="000000"/>
              <w:left w:val="single" w:sz="4" w:space="0" w:color="000000"/>
              <w:bottom w:val="nil"/>
              <w:right w:val="single" w:sz="4" w:space="0" w:color="000000"/>
            </w:tcBorders>
            <w:shd w:val="clear" w:color="auto" w:fill="auto"/>
            <w:vAlign w:val="center"/>
          </w:tcPr>
          <w:p w14:paraId="4B5D1B0C" w14:textId="77777777" w:rsidR="00737083" w:rsidRPr="00AC559F" w:rsidRDefault="00260792">
            <w:pPr>
              <w:spacing w:line="240" w:lineRule="auto"/>
            </w:pPr>
            <w:r w:rsidRPr="00AC559F">
              <w:t>3.1. Projekti üldine kuluefektiivsus</w:t>
            </w:r>
          </w:p>
          <w:p w14:paraId="4DE36BC2" w14:textId="77777777" w:rsidR="00737083" w:rsidRPr="00AC559F" w:rsidRDefault="00260792">
            <w:pPr>
              <w:spacing w:line="240" w:lineRule="auto"/>
              <w:rPr>
                <w:i/>
              </w:rPr>
            </w:pPr>
            <w:r w:rsidRPr="00AC559F">
              <w:rPr>
                <w:i/>
              </w:rPr>
              <w:t>(e-toetuse taotlusvormi sisu alajaotuse andmeväljad „projekti eesmärk ja tulemused“, „näitajad“ ja „eelarve“)</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A9C77F" w14:textId="77777777" w:rsidR="00737083" w:rsidRPr="00AC559F" w:rsidRDefault="00260792">
            <w:pPr>
              <w:spacing w:line="240" w:lineRule="auto"/>
              <w:jc w:val="center"/>
            </w:pPr>
            <w:r w:rsidRPr="00AC559F">
              <w:t>4 </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571AB2" w14:textId="77777777" w:rsidR="00737083" w:rsidRPr="00AC559F" w:rsidRDefault="00260792">
            <w:pPr>
              <w:spacing w:line="240" w:lineRule="auto"/>
              <w:jc w:val="center"/>
            </w:pPr>
            <w:r w:rsidRPr="00AC559F">
              <w:t>2 </w:t>
            </w:r>
          </w:p>
        </w:tc>
        <w:tc>
          <w:tcPr>
            <w:tcW w:w="3152" w:type="dxa"/>
            <w:vAlign w:val="center"/>
          </w:tcPr>
          <w:p w14:paraId="6CA7E40C" w14:textId="77777777" w:rsidR="00737083" w:rsidRPr="00AC559F" w:rsidRDefault="00737083">
            <w:pPr>
              <w:spacing w:line="240" w:lineRule="auto"/>
            </w:pPr>
          </w:p>
        </w:tc>
      </w:tr>
      <w:tr w:rsidR="00AC559F" w:rsidRPr="00AC559F" w14:paraId="603AC423" w14:textId="77777777" w:rsidTr="00630D59">
        <w:trPr>
          <w:trHeight w:val="300"/>
        </w:trPr>
        <w:tc>
          <w:tcPr>
            <w:tcW w:w="6379" w:type="dxa"/>
            <w:tcBorders>
              <w:top w:val="nil"/>
              <w:left w:val="single" w:sz="4" w:space="0" w:color="000000"/>
              <w:bottom w:val="single" w:sz="4" w:space="0" w:color="000000"/>
              <w:right w:val="single" w:sz="4" w:space="0" w:color="000000"/>
            </w:tcBorders>
            <w:shd w:val="clear" w:color="auto" w:fill="auto"/>
            <w:vAlign w:val="center"/>
          </w:tcPr>
          <w:p w14:paraId="7C55FB14" w14:textId="77777777" w:rsidR="00737083" w:rsidRPr="00AC559F" w:rsidRDefault="00737083">
            <w:pPr>
              <w:spacing w:line="240" w:lineRule="auto"/>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8E36B7" w14:textId="77777777" w:rsidR="00737083" w:rsidRPr="00AC559F" w:rsidRDefault="00737083">
            <w:pPr>
              <w:pBdr>
                <w:top w:val="nil"/>
                <w:left w:val="nil"/>
                <w:bottom w:val="nil"/>
                <w:right w:val="nil"/>
                <w:between w:val="nil"/>
              </w:pBdr>
              <w:spacing w:line="276" w:lineRule="auto"/>
              <w:jc w:val="left"/>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D5B51E" w14:textId="77777777" w:rsidR="00737083" w:rsidRPr="00AC559F" w:rsidRDefault="00737083">
            <w:pPr>
              <w:pBdr>
                <w:top w:val="nil"/>
                <w:left w:val="nil"/>
                <w:bottom w:val="nil"/>
                <w:right w:val="nil"/>
                <w:between w:val="nil"/>
              </w:pBdr>
              <w:spacing w:line="276" w:lineRule="auto"/>
              <w:jc w:val="left"/>
            </w:pPr>
          </w:p>
        </w:tc>
        <w:tc>
          <w:tcPr>
            <w:tcW w:w="3152" w:type="dxa"/>
            <w:vAlign w:val="center"/>
          </w:tcPr>
          <w:p w14:paraId="349200F0" w14:textId="77777777" w:rsidR="00737083" w:rsidRPr="00AC559F" w:rsidRDefault="00737083">
            <w:pPr>
              <w:spacing w:line="240" w:lineRule="auto"/>
            </w:pPr>
          </w:p>
        </w:tc>
      </w:tr>
      <w:tr w:rsidR="00AC559F" w:rsidRPr="00AC559F" w14:paraId="396ABC9A" w14:textId="77777777" w:rsidTr="00630D59">
        <w:trPr>
          <w:trHeight w:val="300"/>
        </w:trPr>
        <w:tc>
          <w:tcPr>
            <w:tcW w:w="921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836175" w14:textId="77777777" w:rsidR="00737083" w:rsidRPr="00AC559F" w:rsidRDefault="00260792">
            <w:pPr>
              <w:spacing w:line="240" w:lineRule="auto"/>
            </w:pPr>
            <w:r w:rsidRPr="00AC559F">
              <w:t>Selgitus punkti 3.1 hinnangute kohta:</w:t>
            </w:r>
          </w:p>
          <w:p w14:paraId="25837588" w14:textId="77777777" w:rsidR="000E1A0F" w:rsidRPr="00AC559F" w:rsidRDefault="000E1A0F">
            <w:pPr>
              <w:spacing w:line="240" w:lineRule="auto"/>
            </w:pPr>
          </w:p>
          <w:p w14:paraId="503EB12D" w14:textId="5A138853" w:rsidR="00737083" w:rsidRPr="00AC559F" w:rsidRDefault="00260792">
            <w:pPr>
              <w:spacing w:line="240" w:lineRule="auto"/>
            </w:pPr>
            <w:r w:rsidRPr="00AC559F">
              <w:t>Projekti tegevuste eelarve on planeeritud</w:t>
            </w:r>
            <w:r w:rsidR="00752E0D" w:rsidRPr="00AC559F">
              <w:t xml:space="preserve"> </w:t>
            </w:r>
            <w:r w:rsidR="00C12D0D" w:rsidRPr="00AC559F">
              <w:t>puudus</w:t>
            </w:r>
            <w:r w:rsidR="00752E0D" w:rsidRPr="00AC559F">
              <w:t>tega</w:t>
            </w:r>
            <w:r w:rsidR="00125BD7" w:rsidRPr="00AC559F">
              <w:t xml:space="preserve"> </w:t>
            </w:r>
            <w:r w:rsidR="00752E0D" w:rsidRPr="00AC559F">
              <w:t>(</w:t>
            </w:r>
            <w:r w:rsidR="00125BD7" w:rsidRPr="00AC559F">
              <w:t>toodud välja punktis 3.2),</w:t>
            </w:r>
            <w:r w:rsidR="00C12D0D" w:rsidRPr="00AC559F">
              <w:t xml:space="preserve"> kuid  siiski</w:t>
            </w:r>
            <w:r w:rsidR="00605686" w:rsidRPr="00AC559F">
              <w:t xml:space="preserve"> võimalda</w:t>
            </w:r>
            <w:r w:rsidR="00C12D0D" w:rsidRPr="00AC559F">
              <w:t>b</w:t>
            </w:r>
            <w:r w:rsidR="00605686" w:rsidRPr="00AC559F">
              <w:t xml:space="preserve"> saavutada</w:t>
            </w:r>
            <w:r w:rsidR="00C12D0D" w:rsidRPr="00AC559F">
              <w:t xml:space="preserve"> projekti tulemusnäitajat</w:t>
            </w:r>
            <w:r w:rsidR="00605686" w:rsidRPr="00AC559F">
              <w:t xml:space="preserve">, kuna </w:t>
            </w:r>
            <w:r w:rsidR="00C12D0D" w:rsidRPr="00AC559F">
              <w:t>kursustel saavad osaleda ka töötavad naised.</w:t>
            </w:r>
            <w:r w:rsidR="00605686" w:rsidRPr="00AC559F">
              <w:t xml:space="preserve"> </w:t>
            </w:r>
          </w:p>
          <w:p w14:paraId="5A5DA893" w14:textId="495EF0F9" w:rsidR="00737083" w:rsidRPr="00AC559F" w:rsidRDefault="00AE28D6">
            <w:pPr>
              <w:spacing w:line="240" w:lineRule="auto"/>
              <w:rPr>
                <w:highlight w:val="yellow"/>
              </w:rPr>
            </w:pPr>
            <w:r w:rsidRPr="00AC559F">
              <w:t>Projektis ette nähtud koolitus on veebipõhine, mis on füüsilisest koolitusest soodsam ning projekt</w:t>
            </w:r>
            <w:r w:rsidR="00752E0D" w:rsidRPr="00AC559F">
              <w:t xml:space="preserve"> seega </w:t>
            </w:r>
            <w:r w:rsidRPr="00AC559F">
              <w:t xml:space="preserve"> kulutõhusam.</w:t>
            </w:r>
          </w:p>
          <w:p w14:paraId="5619075D" w14:textId="77777777" w:rsidR="00737083" w:rsidRPr="00AC559F" w:rsidRDefault="00737083">
            <w:pPr>
              <w:spacing w:line="240" w:lineRule="auto"/>
            </w:pPr>
          </w:p>
        </w:tc>
        <w:tc>
          <w:tcPr>
            <w:tcW w:w="3152" w:type="dxa"/>
            <w:vAlign w:val="center"/>
          </w:tcPr>
          <w:p w14:paraId="193C4D35" w14:textId="77777777" w:rsidR="00737083" w:rsidRPr="00AC559F" w:rsidRDefault="00737083">
            <w:pPr>
              <w:spacing w:line="240" w:lineRule="auto"/>
            </w:pPr>
          </w:p>
        </w:tc>
      </w:tr>
      <w:tr w:rsidR="00AC559F" w:rsidRPr="00AC559F" w14:paraId="546E7BCB" w14:textId="77777777" w:rsidTr="00630D59">
        <w:trPr>
          <w:trHeight w:val="300"/>
        </w:trPr>
        <w:tc>
          <w:tcPr>
            <w:tcW w:w="921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D22B53" w14:textId="77777777" w:rsidR="00737083" w:rsidRPr="00AC559F" w:rsidRDefault="00737083">
            <w:pPr>
              <w:pBdr>
                <w:top w:val="nil"/>
                <w:left w:val="nil"/>
                <w:bottom w:val="nil"/>
                <w:right w:val="nil"/>
                <w:between w:val="nil"/>
              </w:pBdr>
              <w:spacing w:line="276" w:lineRule="auto"/>
              <w:jc w:val="left"/>
            </w:pPr>
          </w:p>
        </w:tc>
        <w:tc>
          <w:tcPr>
            <w:tcW w:w="3152" w:type="dxa"/>
            <w:tcBorders>
              <w:top w:val="nil"/>
              <w:left w:val="nil"/>
              <w:bottom w:val="nil"/>
              <w:right w:val="nil"/>
            </w:tcBorders>
            <w:shd w:val="clear" w:color="auto" w:fill="auto"/>
            <w:vAlign w:val="bottom"/>
          </w:tcPr>
          <w:p w14:paraId="6FD4DEA6" w14:textId="77777777" w:rsidR="00737083" w:rsidRPr="00AC559F" w:rsidRDefault="00737083">
            <w:pPr>
              <w:spacing w:line="240" w:lineRule="auto"/>
            </w:pPr>
          </w:p>
        </w:tc>
      </w:tr>
      <w:tr w:rsidR="00AC559F" w:rsidRPr="00AC559F" w14:paraId="07C1BC12" w14:textId="77777777" w:rsidTr="00630D59">
        <w:trPr>
          <w:trHeight w:val="300"/>
        </w:trPr>
        <w:tc>
          <w:tcPr>
            <w:tcW w:w="6379" w:type="dxa"/>
            <w:tcBorders>
              <w:top w:val="nil"/>
              <w:left w:val="single" w:sz="4" w:space="0" w:color="000000"/>
              <w:bottom w:val="nil"/>
              <w:right w:val="single" w:sz="4" w:space="0" w:color="000000"/>
            </w:tcBorders>
            <w:shd w:val="clear" w:color="auto" w:fill="auto"/>
            <w:vAlign w:val="center"/>
          </w:tcPr>
          <w:p w14:paraId="2D8FED65" w14:textId="77777777" w:rsidR="00737083" w:rsidRPr="00AC559F" w:rsidRDefault="00260792">
            <w:pPr>
              <w:spacing w:line="240" w:lineRule="auto"/>
              <w:rPr>
                <w:i/>
              </w:rPr>
            </w:pPr>
            <w:r w:rsidRPr="00AC559F">
              <w:t>3.2. Konkreetsete kavandatud kulutuste vajalikkus, põhjendatus ja mõistlikkus projekti rakendamise seisukohast</w:t>
            </w:r>
          </w:p>
          <w:p w14:paraId="0592FC95" w14:textId="77777777" w:rsidR="00737083" w:rsidRPr="00AC559F" w:rsidRDefault="00260792">
            <w:pPr>
              <w:spacing w:line="240" w:lineRule="auto"/>
              <w:rPr>
                <w:i/>
              </w:rPr>
            </w:pPr>
            <w:r w:rsidRPr="00AC559F">
              <w:rPr>
                <w:i/>
              </w:rPr>
              <w:t>(e-toetuse taotlusvormi sisu alajaotuse andmeväljad „olemasolev olukord ja ülevaade projekti vajalikkusest“, „tegevused“ ja „eelarve“)</w:t>
            </w:r>
          </w:p>
          <w:p w14:paraId="72F09F24" w14:textId="77777777" w:rsidR="00737083" w:rsidRPr="00AC559F" w:rsidRDefault="00737083">
            <w:pPr>
              <w:spacing w:line="240" w:lineRule="auto"/>
            </w:pPr>
          </w:p>
        </w:tc>
        <w:tc>
          <w:tcPr>
            <w:tcW w:w="1418" w:type="dxa"/>
            <w:tcBorders>
              <w:top w:val="nil"/>
              <w:left w:val="single" w:sz="4" w:space="0" w:color="000000"/>
              <w:bottom w:val="single" w:sz="4" w:space="0" w:color="000000"/>
              <w:right w:val="single" w:sz="4" w:space="0" w:color="000000"/>
            </w:tcBorders>
            <w:shd w:val="clear" w:color="auto" w:fill="auto"/>
            <w:vAlign w:val="center"/>
          </w:tcPr>
          <w:p w14:paraId="14161F11" w14:textId="77777777" w:rsidR="00737083" w:rsidRPr="00AC559F" w:rsidRDefault="00260792">
            <w:pPr>
              <w:spacing w:line="240" w:lineRule="auto"/>
              <w:jc w:val="center"/>
            </w:pPr>
            <w:r w:rsidRPr="00AC559F">
              <w:t> 4</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2FB293BD" w14:textId="77777777" w:rsidR="00737083" w:rsidRPr="00AC559F" w:rsidRDefault="00260792">
            <w:pPr>
              <w:spacing w:line="240" w:lineRule="auto"/>
              <w:jc w:val="center"/>
            </w:pPr>
            <w:r w:rsidRPr="00AC559F">
              <w:t>2 </w:t>
            </w:r>
          </w:p>
        </w:tc>
        <w:tc>
          <w:tcPr>
            <w:tcW w:w="3152" w:type="dxa"/>
            <w:vAlign w:val="center"/>
          </w:tcPr>
          <w:p w14:paraId="70DA74DA" w14:textId="77777777" w:rsidR="00737083" w:rsidRPr="00AC559F" w:rsidRDefault="00737083">
            <w:pPr>
              <w:spacing w:line="240" w:lineRule="auto"/>
            </w:pPr>
          </w:p>
        </w:tc>
      </w:tr>
      <w:tr w:rsidR="00AC559F" w:rsidRPr="00AC559F" w14:paraId="2A2204A4" w14:textId="77777777" w:rsidTr="00630D59">
        <w:trPr>
          <w:trHeight w:val="300"/>
        </w:trPr>
        <w:tc>
          <w:tcPr>
            <w:tcW w:w="921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58AF2B" w14:textId="77777777" w:rsidR="00737083" w:rsidRPr="00AC559F" w:rsidRDefault="00260792">
            <w:pPr>
              <w:spacing w:line="240" w:lineRule="auto"/>
            </w:pPr>
            <w:r w:rsidRPr="00AC559F">
              <w:t>Selgitus punkti 3.2 hinnangute kohta:</w:t>
            </w:r>
          </w:p>
          <w:p w14:paraId="1E213BDD" w14:textId="6E131775" w:rsidR="000864F3" w:rsidRPr="00AC559F" w:rsidRDefault="000864F3">
            <w:pPr>
              <w:spacing w:before="240" w:after="240" w:line="276" w:lineRule="auto"/>
            </w:pPr>
            <w:r w:rsidRPr="00AC559F">
              <w:lastRenderedPageBreak/>
              <w:t xml:space="preserve">Eelarve on planeeritud puudustega, kuid planeeritud vahendite kasutamine toetab osaliselt projekti eesmärkide saavutamist. </w:t>
            </w:r>
          </w:p>
          <w:p w14:paraId="6D77C4C2" w14:textId="4BBAA0B6" w:rsidR="00B512CF" w:rsidRPr="00AC559F" w:rsidRDefault="00B512CF">
            <w:pPr>
              <w:spacing w:before="240" w:after="240" w:line="276" w:lineRule="auto"/>
            </w:pPr>
            <w:r w:rsidRPr="00AC559F">
              <w:t>Kulude kujunemise põhimõtted mis ei ole arusaadavad:</w:t>
            </w:r>
          </w:p>
          <w:p w14:paraId="1514B6C4" w14:textId="6772B50D" w:rsidR="00FF549F" w:rsidRPr="00AC559F" w:rsidRDefault="00FF549F">
            <w:pPr>
              <w:spacing w:before="240" w:after="240" w:line="276" w:lineRule="auto"/>
              <w:rPr>
                <w:u w:val="single"/>
              </w:rPr>
            </w:pPr>
            <w:r w:rsidRPr="00AC559F">
              <w:rPr>
                <w:u w:val="single"/>
              </w:rPr>
              <w:t>Turundus</w:t>
            </w:r>
            <w:r w:rsidR="000864F3" w:rsidRPr="00AC559F">
              <w:rPr>
                <w:u w:val="single"/>
              </w:rPr>
              <w:t xml:space="preserve"> (eelarve rida 3)</w:t>
            </w:r>
          </w:p>
          <w:p w14:paraId="3B6D8E2B" w14:textId="44F6C20B" w:rsidR="00737083" w:rsidRPr="00AC559F" w:rsidRDefault="00260792">
            <w:pPr>
              <w:spacing w:before="240" w:after="240" w:line="276" w:lineRule="auto"/>
            </w:pPr>
            <w:r w:rsidRPr="00AC559F">
              <w:t xml:space="preserve">Projekti turunduseelarve (50 eurot) aasta on hindajate hinnangul äärmiselt tagasihoidlik. </w:t>
            </w:r>
            <w:r w:rsidR="00C12D0D" w:rsidRPr="00AC559F">
              <w:t>Vähetõenäoline</w:t>
            </w:r>
            <w:r w:rsidR="00FF549F" w:rsidRPr="00AC559F">
              <w:t xml:space="preserve"> on</w:t>
            </w:r>
            <w:r w:rsidR="00C12D0D" w:rsidRPr="00AC559F">
              <w:t>, et saab</w:t>
            </w:r>
            <w:r w:rsidRPr="00AC559F">
              <w:t xml:space="preserve"> kulutada ainult 50 eurot</w:t>
            </w:r>
            <w:r w:rsidR="00C12D0D" w:rsidRPr="00AC559F">
              <w:t xml:space="preserve"> aastas</w:t>
            </w:r>
            <w:r w:rsidRPr="00AC559F">
              <w:t xml:space="preserve"> turundusele, kui plaanitud on ka podcastid ja inspiratsioonilugude jagamine (</w:t>
            </w:r>
            <w:r w:rsidR="00C12D0D" w:rsidRPr="00AC559F">
              <w:t xml:space="preserve">taotleja </w:t>
            </w:r>
            <w:r w:rsidRPr="00AC559F">
              <w:t xml:space="preserve">GANTT tabel, GoogleDrive-i fail lk 2). Taotleja kinnitusel on turunduskulud nii madalad, kuna taotlejal on suur jälgijaskond ja infokirja saajate nimekiri (ligi 1 500 inimest), kelle seast  saab programmi osalejaid leida. Samuti saavad soovitada taotleja vahendatavaid kursuseid </w:t>
            </w:r>
            <w:r w:rsidR="00FF549F" w:rsidRPr="00AC559F">
              <w:t>T</w:t>
            </w:r>
            <w:r w:rsidRPr="00AC559F">
              <w:t>öötukassa konsultandid ja varasemate programmide läbijad. Hinda</w:t>
            </w:r>
            <w:r w:rsidR="00C12D0D" w:rsidRPr="00AC559F">
              <w:t>te</w:t>
            </w:r>
            <w:r w:rsidRPr="00AC559F">
              <w:t xml:space="preserve"> hinnangul</w:t>
            </w:r>
            <w:r w:rsidR="00C12D0D" w:rsidRPr="00AC559F">
              <w:t xml:space="preserve"> tagab see </w:t>
            </w:r>
            <w:r w:rsidR="002F05F7" w:rsidRPr="00AC559F">
              <w:t xml:space="preserve">projektile vaid </w:t>
            </w:r>
            <w:r w:rsidR="00C12D0D" w:rsidRPr="00AC559F">
              <w:t xml:space="preserve">piiratud nähtavuse, kui </w:t>
            </w:r>
            <w:r w:rsidR="002F05F7" w:rsidRPr="00AC559F">
              <w:t xml:space="preserve">turunduskulusid ei tehta ning piirdutakse ainult avaliku infoga taotleja kodulehel ja Facebook-i lehel, sest </w:t>
            </w:r>
            <w:r w:rsidR="00FF549F" w:rsidRPr="00AC559F">
              <w:t xml:space="preserve">taotleja </w:t>
            </w:r>
            <w:r w:rsidR="001B0A89" w:rsidRPr="00AC559F">
              <w:t>jälgijate</w:t>
            </w:r>
            <w:r w:rsidR="002F05F7" w:rsidRPr="00AC559F">
              <w:t xml:space="preserve"> kaasatusmäär on madal (taotleja lehele Facebook-is on ainult üksikud lik</w:t>
            </w:r>
            <w:r w:rsidR="00FF549F" w:rsidRPr="00AC559F">
              <w:t>e-</w:t>
            </w:r>
            <w:r w:rsidR="002F05F7" w:rsidRPr="00AC559F">
              <w:t>d).</w:t>
            </w:r>
            <w:r w:rsidRPr="00AC559F">
              <w:t xml:space="preserve"> </w:t>
            </w:r>
            <w:r w:rsidR="005C2E8F" w:rsidRPr="00AC559F">
              <w:t>Taotleja on arvestanud, et turundusega tegeleb projektijuht.</w:t>
            </w:r>
          </w:p>
          <w:p w14:paraId="7F3872B3" w14:textId="2474BC38" w:rsidR="002F05F7" w:rsidRPr="00AC559F" w:rsidRDefault="00FF549F">
            <w:pPr>
              <w:spacing w:before="240" w:after="240" w:line="276" w:lineRule="auto"/>
              <w:rPr>
                <w:rFonts w:ascii="Arial" w:eastAsia="Arial" w:hAnsi="Arial" w:cs="Arial"/>
                <w:sz w:val="21"/>
                <w:szCs w:val="21"/>
                <w:highlight w:val="white"/>
              </w:rPr>
            </w:pPr>
            <w:r w:rsidRPr="00AC559F">
              <w:rPr>
                <w:u w:val="single"/>
              </w:rPr>
              <w:t xml:space="preserve">IKT oskuste arendamine </w:t>
            </w:r>
            <w:proofErr w:type="spellStart"/>
            <w:r w:rsidRPr="00AC559F">
              <w:rPr>
                <w:u w:val="single"/>
              </w:rPr>
              <w:t>Coursera</w:t>
            </w:r>
            <w:proofErr w:type="spellEnd"/>
            <w:r w:rsidRPr="00AC559F">
              <w:rPr>
                <w:u w:val="single"/>
              </w:rPr>
              <w:t xml:space="preserve"> keskkonnas ja muud sisseostetavad teenused (eelarve </w:t>
            </w:r>
            <w:r w:rsidR="000864F3" w:rsidRPr="00AC559F">
              <w:rPr>
                <w:u w:val="single"/>
              </w:rPr>
              <w:t xml:space="preserve">read </w:t>
            </w:r>
            <w:r w:rsidRPr="00AC559F">
              <w:rPr>
                <w:u w:val="single"/>
              </w:rPr>
              <w:t>5, 6 ja 7)</w:t>
            </w:r>
            <w:r w:rsidR="00422216" w:rsidRPr="00AC559F">
              <w:rPr>
                <w:u w:val="single"/>
              </w:rPr>
              <w:t xml:space="preserve"> </w:t>
            </w:r>
            <w:r w:rsidRPr="00AC559F">
              <w:t xml:space="preserve">Eelarve ei ole </w:t>
            </w:r>
            <w:r w:rsidR="00423219" w:rsidRPr="00AC559F">
              <w:t>arvestatud h</w:t>
            </w:r>
            <w:r w:rsidR="002F05F7" w:rsidRPr="00AC559F">
              <w:t>innari</w:t>
            </w:r>
            <w:r w:rsidRPr="00AC559F">
              <w:t>s</w:t>
            </w:r>
            <w:r w:rsidR="002F05F7" w:rsidRPr="00AC559F">
              <w:t>ki</w:t>
            </w:r>
            <w:r w:rsidRPr="00AC559F">
              <w:t>ga</w:t>
            </w:r>
            <w:r w:rsidR="00423219" w:rsidRPr="00AC559F">
              <w:t xml:space="preserve"> (vt täpsemalt selgituse p. 2.2. juurde)</w:t>
            </w:r>
            <w:r w:rsidR="002F05F7" w:rsidRPr="00AC559F">
              <w:t xml:space="preserve"> </w:t>
            </w:r>
            <w:r w:rsidR="00423219" w:rsidRPr="00AC559F">
              <w:t>ehk</w:t>
            </w:r>
            <w:r w:rsidR="002F05F7" w:rsidRPr="00AC559F">
              <w:t xml:space="preserve"> </w:t>
            </w:r>
            <w:r w:rsidR="00423219" w:rsidRPr="00AC559F">
              <w:t>C</w:t>
            </w:r>
            <w:r w:rsidR="002F05F7" w:rsidRPr="00AC559F">
              <w:t>oursera</w:t>
            </w:r>
            <w:r w:rsidR="00423219" w:rsidRPr="00AC559F">
              <w:t xml:space="preserve"> litsentside ja muude</w:t>
            </w:r>
            <w:r w:rsidR="002F05F7" w:rsidRPr="00AC559F">
              <w:t xml:space="preserve"> sisseostetava</w:t>
            </w:r>
            <w:r w:rsidR="00423219" w:rsidRPr="00AC559F">
              <w:t>te</w:t>
            </w:r>
            <w:r w:rsidR="002F05F7" w:rsidRPr="00AC559F">
              <w:t xml:space="preserve"> teenus</w:t>
            </w:r>
            <w:r w:rsidR="00423219" w:rsidRPr="00AC559F">
              <w:t>te kulu on</w:t>
            </w:r>
            <w:r w:rsidR="002F05F7" w:rsidRPr="00AC559F">
              <w:t xml:space="preserve"> alaplaneeritud. </w:t>
            </w:r>
            <w:r w:rsidR="00423219" w:rsidRPr="00AC559F">
              <w:t>Eelarves p</w:t>
            </w:r>
            <w:r w:rsidR="002F05F7" w:rsidRPr="00AC559F">
              <w:t xml:space="preserve">eaks olema </w:t>
            </w:r>
            <w:r w:rsidR="00423219" w:rsidRPr="00AC559F">
              <w:t>täpsemini</w:t>
            </w:r>
            <w:r w:rsidR="002F05F7" w:rsidRPr="00AC559F">
              <w:t xml:space="preserve"> kirjeldatud, kui suur on tasuta esinejate osakaal ja mis osas inimeste tööd tasustatakse. </w:t>
            </w:r>
          </w:p>
          <w:p w14:paraId="5AF1F206" w14:textId="31F3A279" w:rsidR="00423219" w:rsidRPr="00AC559F" w:rsidRDefault="00260792">
            <w:pPr>
              <w:spacing w:before="240" w:after="240" w:line="276" w:lineRule="auto"/>
              <w:rPr>
                <w:highlight w:val="white"/>
              </w:rPr>
            </w:pPr>
            <w:r w:rsidRPr="00AC559F">
              <w:rPr>
                <w:highlight w:val="white"/>
                <w:u w:val="single"/>
              </w:rPr>
              <w:t xml:space="preserve">Praktika, töö ja edasiõppimise võimaluste otsimisele </w:t>
            </w:r>
            <w:r w:rsidR="005C2E8F" w:rsidRPr="00AC559F">
              <w:rPr>
                <w:highlight w:val="white"/>
                <w:u w:val="single"/>
              </w:rPr>
              <w:t>(</w:t>
            </w:r>
            <w:r w:rsidR="000864F3" w:rsidRPr="00AC559F">
              <w:rPr>
                <w:highlight w:val="white"/>
                <w:u w:val="single"/>
              </w:rPr>
              <w:t>eelarve r</w:t>
            </w:r>
            <w:r w:rsidR="005C2E8F" w:rsidRPr="00AC559F">
              <w:rPr>
                <w:highlight w:val="white"/>
                <w:u w:val="single"/>
              </w:rPr>
              <w:t>i</w:t>
            </w:r>
            <w:r w:rsidR="000864F3" w:rsidRPr="00AC559F">
              <w:rPr>
                <w:highlight w:val="white"/>
                <w:u w:val="single"/>
              </w:rPr>
              <w:t>d</w:t>
            </w:r>
            <w:r w:rsidR="005C2E8F" w:rsidRPr="00AC559F">
              <w:rPr>
                <w:highlight w:val="white"/>
                <w:u w:val="single"/>
              </w:rPr>
              <w:t>a</w:t>
            </w:r>
            <w:r w:rsidR="000864F3" w:rsidRPr="00AC559F">
              <w:rPr>
                <w:highlight w:val="white"/>
                <w:u w:val="single"/>
              </w:rPr>
              <w:t xml:space="preserve"> </w:t>
            </w:r>
            <w:r w:rsidRPr="00AC559F">
              <w:rPr>
                <w:highlight w:val="white"/>
                <w:u w:val="single"/>
              </w:rPr>
              <w:t>8)</w:t>
            </w:r>
            <w:r w:rsidRPr="00AC559F">
              <w:rPr>
                <w:highlight w:val="white"/>
              </w:rPr>
              <w:t xml:space="preserve"> </w:t>
            </w:r>
          </w:p>
          <w:p w14:paraId="234B42C4" w14:textId="247E8302" w:rsidR="000864F3" w:rsidRPr="00AC559F" w:rsidRDefault="005C2E8F">
            <w:pPr>
              <w:spacing w:before="240" w:after="240" w:line="276" w:lineRule="auto"/>
            </w:pPr>
            <w:r w:rsidRPr="00AC559F">
              <w:rPr>
                <w:highlight w:val="white"/>
              </w:rPr>
              <w:t>E</w:t>
            </w:r>
            <w:r w:rsidR="00260792" w:rsidRPr="00AC559F">
              <w:rPr>
                <w:highlight w:val="white"/>
              </w:rPr>
              <w:t>elarve</w:t>
            </w:r>
            <w:r w:rsidR="000864F3" w:rsidRPr="00AC559F">
              <w:rPr>
                <w:highlight w:val="white"/>
              </w:rPr>
              <w:t>t</w:t>
            </w:r>
            <w:r w:rsidR="00260792" w:rsidRPr="00AC559F">
              <w:rPr>
                <w:highlight w:val="white"/>
              </w:rPr>
              <w:t xml:space="preserve"> planeeritud ei ole, </w:t>
            </w:r>
            <w:r w:rsidR="00423219" w:rsidRPr="00AC559F">
              <w:rPr>
                <w:highlight w:val="white"/>
              </w:rPr>
              <w:t xml:space="preserve">sest </w:t>
            </w:r>
            <w:r w:rsidR="00260792" w:rsidRPr="00AC559F">
              <w:rPr>
                <w:highlight w:val="white"/>
              </w:rPr>
              <w:t>see on kavandatud osana projektijuhtimise tegevusest</w:t>
            </w:r>
            <w:r w:rsidR="00422216" w:rsidRPr="00AC559F">
              <w:t xml:space="preserve">. </w:t>
            </w:r>
            <w:r w:rsidR="007443A9" w:rsidRPr="00AC559F">
              <w:t xml:space="preserve">Projektijuhi tööülesannete loetelu on </w:t>
            </w:r>
            <w:r w:rsidR="000E1A0F" w:rsidRPr="00AC559F">
              <w:t xml:space="preserve">väga </w:t>
            </w:r>
            <w:r w:rsidR="007443A9" w:rsidRPr="00AC559F">
              <w:t>mahukas (turundustegevused, osalejate vali</w:t>
            </w:r>
            <w:r w:rsidR="00423219" w:rsidRPr="00AC559F">
              <w:t xml:space="preserve">mine ja </w:t>
            </w:r>
            <w:proofErr w:type="spellStart"/>
            <w:r w:rsidR="00423219" w:rsidRPr="00AC559F">
              <w:rPr>
                <w:i/>
                <w:iCs/>
              </w:rPr>
              <w:t>onboardimine</w:t>
            </w:r>
            <w:proofErr w:type="spellEnd"/>
            <w:r w:rsidR="00423219" w:rsidRPr="00AC559F">
              <w:t xml:space="preserve">, lisakoolitajatega ja karjäärmentoritega </w:t>
            </w:r>
            <w:r w:rsidR="007443A9" w:rsidRPr="00AC559F">
              <w:t xml:space="preserve">kokkulepete sõlmimine, </w:t>
            </w:r>
            <w:r w:rsidR="00423219" w:rsidRPr="00AC559F">
              <w:t xml:space="preserve">jooksev tehniline töö, sh </w:t>
            </w:r>
            <w:r w:rsidR="007443A9" w:rsidRPr="00AC559F">
              <w:t xml:space="preserve">osalejate toetamine, </w:t>
            </w:r>
            <w:r w:rsidR="00423219" w:rsidRPr="00AC559F">
              <w:t>infopäevade</w:t>
            </w:r>
            <w:r w:rsidR="007443A9" w:rsidRPr="00AC559F">
              <w:t xml:space="preserve"> korraldamine ning lisaks rutiinne projektijuhtimisega seonduv aruandlus), mistõttu võib etteantud tööülesannete kvaliteetne täitmine  tööaja (</w:t>
            </w:r>
            <w:r w:rsidR="000E1A0F" w:rsidRPr="00AC559F">
              <w:t xml:space="preserve">projektijuht </w:t>
            </w:r>
            <w:r w:rsidR="007443A9" w:rsidRPr="00AC559F">
              <w:t>0,5 töökohta</w:t>
            </w:r>
            <w:r w:rsidR="000E1A0F" w:rsidRPr="00AC559F">
              <w:t xml:space="preserve"> ja assistent 0,25 töökohta</w:t>
            </w:r>
            <w:r w:rsidR="007443A9" w:rsidRPr="00AC559F">
              <w:t>) piires osutuda raskeks.</w:t>
            </w:r>
          </w:p>
          <w:p w14:paraId="4F672D6E" w14:textId="03F2F0D8" w:rsidR="005C2E8F" w:rsidRPr="00AC559F" w:rsidRDefault="005C2E8F">
            <w:pPr>
              <w:spacing w:before="240" w:after="240" w:line="276" w:lineRule="auto"/>
              <w:rPr>
                <w:u w:val="single"/>
              </w:rPr>
            </w:pPr>
            <w:r w:rsidRPr="00AC559F">
              <w:rPr>
                <w:u w:val="single"/>
              </w:rPr>
              <w:t>Projektijuhtimise tegevused (eelarve rida 1)</w:t>
            </w:r>
          </w:p>
          <w:p w14:paraId="045ADA57" w14:textId="6DB59650" w:rsidR="005C2E8F" w:rsidRPr="00AC559F" w:rsidRDefault="005C2E8F">
            <w:pPr>
              <w:spacing w:before="240" w:after="240" w:line="276" w:lineRule="auto"/>
            </w:pPr>
            <w:r w:rsidRPr="00AC559F">
              <w:t>Projektijuhtimisega hakkab tegele</w:t>
            </w:r>
            <w:r w:rsidR="009B3055" w:rsidRPr="00AC559F">
              <w:t>ma</w:t>
            </w:r>
            <w:r w:rsidRPr="00AC559F">
              <w:t xml:space="preserve"> 0,5 töökohaga tööle asuv projektijuht ja 0,25 töökohaga tööle asuv assistent. Eelarve rea täpsustuse kohaselt</w:t>
            </w:r>
            <w:r w:rsidR="009B3055" w:rsidRPr="00AC559F">
              <w:t xml:space="preserve"> on</w:t>
            </w:r>
            <w:r w:rsidRPr="00AC559F">
              <w:t xml:space="preserve">  arvestatud projekti eelarve</w:t>
            </w:r>
            <w:r w:rsidR="009B3055" w:rsidRPr="00AC559F">
              <w:t>ga</w:t>
            </w:r>
            <w:r w:rsidRPr="00AC559F">
              <w:t xml:space="preserve"> seotud tegevustega ja aruandlusega ning osalejate vastuvõttu ja toetamisega. </w:t>
            </w:r>
            <w:r w:rsidR="009B3055" w:rsidRPr="00AC559F">
              <w:t>E</w:t>
            </w:r>
            <w:r w:rsidRPr="00AC559F">
              <w:t xml:space="preserve">elarveridade </w:t>
            </w:r>
            <w:r w:rsidR="009B3055" w:rsidRPr="00AC559F">
              <w:t xml:space="preserve">3 ja 8 </w:t>
            </w:r>
            <w:r w:rsidRPr="00AC559F">
              <w:t>kohaselt hõlmab projektijuhtimine aga ka turundustegevusi, praktika, töö ja edasiõppimise võimaluste otsimine osalejatele. Samuti eelda</w:t>
            </w:r>
            <w:r w:rsidR="009B3055" w:rsidRPr="00AC559F">
              <w:t>b projekti tegevuste kirjeldus (horisontaalsete tegevuste jaotis), et</w:t>
            </w:r>
            <w:r w:rsidRPr="00AC559F">
              <w:t xml:space="preserve"> projektijuhil ja tema assistendil </w:t>
            </w:r>
            <w:r w:rsidR="009B3055" w:rsidRPr="00AC559F">
              <w:t xml:space="preserve">tuleb </w:t>
            </w:r>
            <w:r w:rsidRPr="00AC559F">
              <w:t xml:space="preserve">tegeleda </w:t>
            </w:r>
            <w:r w:rsidR="009B3055" w:rsidRPr="00AC559F">
              <w:t xml:space="preserve">ka muude ülesannetega (osalejate värbamine ja valimine, lisaseminaride läbiviimine, Slack-i keskkonna haldamine, muud </w:t>
            </w:r>
            <w:r w:rsidR="00B659E2" w:rsidRPr="00AC559F">
              <w:t>t</w:t>
            </w:r>
            <w:r w:rsidR="009B3055" w:rsidRPr="00AC559F">
              <w:t xml:space="preserve">ehnilised ülesanded, lisakoolitajate ja karjäärimentorite kaasamisega seonduv töö jne). Ehk eelarve planeerimisel ei ole arvestatud tegeliku projektijuhtimisega seotud töökoormusega, </w:t>
            </w:r>
            <w:r w:rsidR="009B3055" w:rsidRPr="00AC559F">
              <w:lastRenderedPageBreak/>
              <w:t xml:space="preserve">mistõttu võib kavandatud tegevuste kvaliteetne täitmine tööaja piires osutuda raskeks. </w:t>
            </w:r>
          </w:p>
          <w:p w14:paraId="4CFD47F1" w14:textId="77777777" w:rsidR="00737083" w:rsidRPr="00AC559F" w:rsidRDefault="00737083">
            <w:pPr>
              <w:spacing w:line="240" w:lineRule="auto"/>
            </w:pPr>
          </w:p>
        </w:tc>
        <w:tc>
          <w:tcPr>
            <w:tcW w:w="3152" w:type="dxa"/>
            <w:vAlign w:val="center"/>
          </w:tcPr>
          <w:p w14:paraId="2BBDC457" w14:textId="77777777" w:rsidR="00737083" w:rsidRPr="00AC559F" w:rsidRDefault="00737083">
            <w:pPr>
              <w:spacing w:line="240" w:lineRule="auto"/>
            </w:pPr>
          </w:p>
        </w:tc>
      </w:tr>
      <w:tr w:rsidR="00AC559F" w:rsidRPr="00AC559F" w14:paraId="3A4C1E15" w14:textId="77777777" w:rsidTr="00630D59">
        <w:trPr>
          <w:trHeight w:val="300"/>
        </w:trPr>
        <w:tc>
          <w:tcPr>
            <w:tcW w:w="921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18C28B" w14:textId="77777777" w:rsidR="00737083" w:rsidRPr="00AC559F" w:rsidRDefault="00737083">
            <w:pPr>
              <w:pBdr>
                <w:top w:val="nil"/>
                <w:left w:val="nil"/>
                <w:bottom w:val="nil"/>
                <w:right w:val="nil"/>
                <w:between w:val="nil"/>
              </w:pBdr>
              <w:spacing w:line="276" w:lineRule="auto"/>
              <w:jc w:val="left"/>
            </w:pPr>
          </w:p>
        </w:tc>
        <w:tc>
          <w:tcPr>
            <w:tcW w:w="3152" w:type="dxa"/>
            <w:tcBorders>
              <w:top w:val="nil"/>
              <w:left w:val="nil"/>
              <w:bottom w:val="nil"/>
              <w:right w:val="nil"/>
            </w:tcBorders>
            <w:shd w:val="clear" w:color="auto" w:fill="auto"/>
            <w:vAlign w:val="bottom"/>
          </w:tcPr>
          <w:p w14:paraId="2EEC4CD4" w14:textId="77777777" w:rsidR="00737083" w:rsidRPr="00AC559F" w:rsidRDefault="00737083">
            <w:pPr>
              <w:spacing w:line="240" w:lineRule="auto"/>
            </w:pPr>
          </w:p>
        </w:tc>
      </w:tr>
      <w:tr w:rsidR="00AC559F" w:rsidRPr="00AC559F" w14:paraId="539CE9AD" w14:textId="77777777" w:rsidTr="00630D59">
        <w:trPr>
          <w:trHeight w:val="300"/>
        </w:trPr>
        <w:tc>
          <w:tcPr>
            <w:tcW w:w="6379" w:type="dxa"/>
            <w:tcBorders>
              <w:top w:val="nil"/>
              <w:left w:val="single" w:sz="4" w:space="0" w:color="000000"/>
              <w:bottom w:val="nil"/>
              <w:right w:val="single" w:sz="4" w:space="0" w:color="000000"/>
            </w:tcBorders>
            <w:shd w:val="clear" w:color="auto" w:fill="auto"/>
            <w:vAlign w:val="center"/>
          </w:tcPr>
          <w:p w14:paraId="152AE6E5" w14:textId="77777777" w:rsidR="00737083" w:rsidRPr="00AC559F" w:rsidRDefault="00260792">
            <w:pPr>
              <w:spacing w:line="240" w:lineRule="auto"/>
              <w:rPr>
                <w:b/>
              </w:rPr>
            </w:pPr>
            <w:r w:rsidRPr="00AC559F">
              <w:rPr>
                <w:b/>
              </w:rPr>
              <w:lastRenderedPageBreak/>
              <w:t>4.</w:t>
            </w:r>
            <w:r w:rsidRPr="00AC559F">
              <w:t> </w:t>
            </w:r>
            <w:r w:rsidRPr="00AC559F">
              <w:rPr>
                <w:b/>
              </w:rPr>
              <w:t>Taotleja ja partnerite suutlikkus projekti ellu viia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89BCF" w14:textId="77777777" w:rsidR="00737083" w:rsidRPr="00AC559F" w:rsidRDefault="00260792">
            <w:pPr>
              <w:spacing w:line="240" w:lineRule="auto"/>
              <w:jc w:val="center"/>
              <w:rPr>
                <w:b/>
              </w:rPr>
            </w:pPr>
            <w:r w:rsidRPr="00AC559F">
              <w:rPr>
                <w:b/>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E2C04" w14:textId="566FF70E" w:rsidR="00737083" w:rsidRPr="00AC559F" w:rsidRDefault="00562716">
            <w:pPr>
              <w:spacing w:line="240" w:lineRule="auto"/>
              <w:jc w:val="center"/>
            </w:pPr>
            <w:r w:rsidRPr="00AC559F">
              <w:t>2</w:t>
            </w:r>
          </w:p>
        </w:tc>
        <w:tc>
          <w:tcPr>
            <w:tcW w:w="3152" w:type="dxa"/>
            <w:tcBorders>
              <w:left w:val="single" w:sz="4" w:space="0" w:color="000000"/>
            </w:tcBorders>
            <w:vAlign w:val="center"/>
          </w:tcPr>
          <w:p w14:paraId="43DB6ACC" w14:textId="77777777" w:rsidR="00737083" w:rsidRPr="00AC559F" w:rsidRDefault="00737083">
            <w:pPr>
              <w:spacing w:line="240" w:lineRule="auto"/>
            </w:pPr>
          </w:p>
        </w:tc>
      </w:tr>
      <w:tr w:rsidR="00AC559F" w:rsidRPr="00AC559F" w14:paraId="51402EB9" w14:textId="77777777" w:rsidTr="00630D59">
        <w:trPr>
          <w:trHeight w:val="300"/>
        </w:trPr>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D7C52" w14:textId="77777777" w:rsidR="00737083" w:rsidRPr="00AC559F" w:rsidRDefault="00260792">
            <w:pPr>
              <w:spacing w:line="240" w:lineRule="auto"/>
            </w:pPr>
            <w:r w:rsidRPr="00AC559F">
              <w:t>Taotleja ja partneri võimekus ja rollijaotus projekti elluviimisel.</w:t>
            </w:r>
          </w:p>
          <w:p w14:paraId="115733E7" w14:textId="77777777" w:rsidR="00737083" w:rsidRPr="00AC559F" w:rsidRDefault="00260792">
            <w:pPr>
              <w:spacing w:line="240" w:lineRule="auto"/>
              <w:rPr>
                <w:i/>
              </w:rPr>
            </w:pPr>
            <w:r w:rsidRPr="00AC559F">
              <w:rPr>
                <w:i/>
              </w:rPr>
              <w:t>(e-toetuse taotlusvormi sisu alajaotuse andmeväljad „Taotleja kogemused taotluses toodud tegevustega analoogsete tegevuste elluviimisel“, „tegevused“ ja „eelarve“ ning lisa 3 „Partneri kinnituskiri“)</w:t>
            </w:r>
          </w:p>
          <w:p w14:paraId="596EDDCA" w14:textId="77777777" w:rsidR="00737083" w:rsidRPr="00AC559F" w:rsidRDefault="00737083">
            <w:pPr>
              <w:spacing w:line="240" w:lineRule="auto"/>
              <w:rPr>
                <w: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F630E" w14:textId="77777777" w:rsidR="00737083" w:rsidRPr="00AC559F" w:rsidRDefault="00260792">
            <w:pPr>
              <w:spacing w:line="240" w:lineRule="auto"/>
              <w:jc w:val="center"/>
            </w:pPr>
            <w:r w:rsidRPr="00AC559F">
              <w:t>4 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7CD4D" w14:textId="77777777" w:rsidR="00737083" w:rsidRPr="00AC559F" w:rsidRDefault="00260792">
            <w:pPr>
              <w:spacing w:line="240" w:lineRule="auto"/>
              <w:jc w:val="center"/>
            </w:pPr>
            <w:r w:rsidRPr="00AC559F">
              <w:t>2 </w:t>
            </w:r>
          </w:p>
        </w:tc>
        <w:tc>
          <w:tcPr>
            <w:tcW w:w="3152" w:type="dxa"/>
            <w:vAlign w:val="center"/>
          </w:tcPr>
          <w:p w14:paraId="331BEC2C" w14:textId="77777777" w:rsidR="00737083" w:rsidRPr="00AC559F" w:rsidRDefault="00737083">
            <w:pPr>
              <w:spacing w:line="240" w:lineRule="auto"/>
            </w:pPr>
          </w:p>
        </w:tc>
      </w:tr>
      <w:tr w:rsidR="00AC559F" w:rsidRPr="00AC559F" w14:paraId="77EAF3B4" w14:textId="77777777" w:rsidTr="00630D59">
        <w:trPr>
          <w:trHeight w:val="300"/>
        </w:trPr>
        <w:tc>
          <w:tcPr>
            <w:tcW w:w="9214" w:type="dxa"/>
            <w:gridSpan w:val="3"/>
            <w:vMerge w:val="restart"/>
            <w:tcBorders>
              <w:top w:val="single" w:sz="4" w:space="0" w:color="000000"/>
              <w:left w:val="single" w:sz="4" w:space="0" w:color="000000"/>
              <w:right w:val="single" w:sz="4" w:space="0" w:color="000000"/>
            </w:tcBorders>
            <w:shd w:val="clear" w:color="auto" w:fill="auto"/>
            <w:vAlign w:val="center"/>
          </w:tcPr>
          <w:p w14:paraId="264D47C6" w14:textId="77777777" w:rsidR="00737083" w:rsidRPr="00AC559F" w:rsidRDefault="00260792">
            <w:pPr>
              <w:spacing w:line="240" w:lineRule="auto"/>
            </w:pPr>
            <w:r w:rsidRPr="00AC559F">
              <w:t>Selgitus punkti 4 hinnangute kohta:</w:t>
            </w:r>
          </w:p>
          <w:p w14:paraId="60B7BB27" w14:textId="49CC76B9" w:rsidR="00737083" w:rsidRPr="00AC559F" w:rsidRDefault="00260792">
            <w:pPr>
              <w:spacing w:line="240" w:lineRule="auto"/>
            </w:pPr>
            <w:r w:rsidRPr="00AC559F">
              <w:t>Hindajatena näeme positiivsena, et taotlejal on varasem kogemus samalaadsete tegevuste (koolitused,</w:t>
            </w:r>
            <w:r w:rsidR="00226F02" w:rsidRPr="00AC559F">
              <w:t xml:space="preserve"> </w:t>
            </w:r>
            <w:r w:rsidRPr="00AC559F">
              <w:t>projektid) läbiviimisel. Hindajatel ei ole kahtlust, et taotleja suudab Coursera kursuste vahendamist puudutavat projekti osa ellu viia. Küsitav on kuivõrd suuteline on taotleja värvata oma jälgijaskonnast väljapoole jäävaid osalejaid (partnerid puuduvad). Näiteks kaasatavate karjäärimentorite kvalifikatsiooni ei ole täpsustatud, kuigi nõustamisteenuste pakkumisel tuleks kasutada  kvalifitseeritud spetsialiste. Karjaäärimentori valimisel ei tundu piisav tugineda pelgalt osalejate tagasisidele, nõrkuseks on ka asjaolu, et pole avatud mentorite töökorraldust (kui paljusid mentoreid on kavas kasutada, milline on rollijaotus jne).</w:t>
            </w:r>
          </w:p>
          <w:p w14:paraId="63D226AB" w14:textId="77777777" w:rsidR="000E1A0F" w:rsidRPr="00AC559F" w:rsidRDefault="000E1A0F">
            <w:pPr>
              <w:spacing w:line="240" w:lineRule="auto"/>
            </w:pPr>
          </w:p>
          <w:p w14:paraId="1AAEC45C" w14:textId="77777777" w:rsidR="00737083" w:rsidRPr="00AC559F" w:rsidRDefault="00260792">
            <w:pPr>
              <w:spacing w:line="240" w:lineRule="auto"/>
            </w:pPr>
            <w:r w:rsidRPr="00AC559F">
              <w:t xml:space="preserve">Kuna partnereid ei ole kaasatud, siis puudub rollijaotus ja üldsõnaliselt on kirjeldatud koostööd valdkonna ettevõtetega, töö projekti panustavate eriala spetsialistide, koolitajate ja nõustajatega. </w:t>
            </w:r>
          </w:p>
          <w:p w14:paraId="0393B564" w14:textId="77777777" w:rsidR="000E1A0F" w:rsidRPr="00AC559F" w:rsidRDefault="000E1A0F">
            <w:pPr>
              <w:spacing w:line="240" w:lineRule="auto"/>
            </w:pPr>
          </w:p>
        </w:tc>
        <w:tc>
          <w:tcPr>
            <w:tcW w:w="3152" w:type="dxa"/>
            <w:tcBorders>
              <w:left w:val="single" w:sz="4" w:space="0" w:color="000000"/>
            </w:tcBorders>
            <w:vAlign w:val="center"/>
          </w:tcPr>
          <w:p w14:paraId="54A27839" w14:textId="77777777" w:rsidR="00737083" w:rsidRPr="00AC559F" w:rsidRDefault="00737083">
            <w:pPr>
              <w:spacing w:line="240" w:lineRule="auto"/>
            </w:pPr>
          </w:p>
        </w:tc>
      </w:tr>
      <w:tr w:rsidR="00AC559F" w:rsidRPr="00AC559F" w14:paraId="75489268" w14:textId="77777777" w:rsidTr="00630D59">
        <w:trPr>
          <w:trHeight w:val="2168"/>
        </w:trPr>
        <w:tc>
          <w:tcPr>
            <w:tcW w:w="9214" w:type="dxa"/>
            <w:gridSpan w:val="3"/>
            <w:vMerge/>
            <w:tcBorders>
              <w:top w:val="single" w:sz="4" w:space="0" w:color="000000"/>
              <w:left w:val="single" w:sz="4" w:space="0" w:color="000000"/>
              <w:right w:val="single" w:sz="4" w:space="0" w:color="000000"/>
            </w:tcBorders>
            <w:shd w:val="clear" w:color="auto" w:fill="auto"/>
            <w:vAlign w:val="center"/>
          </w:tcPr>
          <w:p w14:paraId="0B9427CC" w14:textId="77777777" w:rsidR="00737083" w:rsidRPr="00AC559F" w:rsidRDefault="00737083">
            <w:pPr>
              <w:pBdr>
                <w:top w:val="nil"/>
                <w:left w:val="nil"/>
                <w:bottom w:val="nil"/>
                <w:right w:val="nil"/>
                <w:between w:val="nil"/>
              </w:pBdr>
              <w:spacing w:line="276" w:lineRule="auto"/>
              <w:jc w:val="left"/>
            </w:pPr>
          </w:p>
        </w:tc>
        <w:tc>
          <w:tcPr>
            <w:tcW w:w="3152" w:type="dxa"/>
            <w:tcBorders>
              <w:left w:val="single" w:sz="4" w:space="0" w:color="000000"/>
            </w:tcBorders>
            <w:vAlign w:val="center"/>
          </w:tcPr>
          <w:p w14:paraId="4DC763B2" w14:textId="77777777" w:rsidR="00737083" w:rsidRPr="00AC559F" w:rsidRDefault="00737083">
            <w:pPr>
              <w:spacing w:line="240" w:lineRule="auto"/>
            </w:pPr>
          </w:p>
        </w:tc>
      </w:tr>
      <w:tr w:rsidR="00AC559F" w:rsidRPr="00AC559F" w14:paraId="1556866C" w14:textId="77777777" w:rsidTr="00630D59">
        <w:trPr>
          <w:trHeight w:val="300"/>
        </w:trPr>
        <w:tc>
          <w:tcPr>
            <w:tcW w:w="6379" w:type="dxa"/>
            <w:tcBorders>
              <w:top w:val="single" w:sz="4" w:space="0" w:color="000000"/>
              <w:left w:val="single" w:sz="4" w:space="0" w:color="000000"/>
              <w:bottom w:val="nil"/>
              <w:right w:val="single" w:sz="4" w:space="0" w:color="000000"/>
            </w:tcBorders>
            <w:shd w:val="clear" w:color="auto" w:fill="auto"/>
            <w:vAlign w:val="center"/>
          </w:tcPr>
          <w:p w14:paraId="7C258B73" w14:textId="77777777" w:rsidR="00737083" w:rsidRPr="00AC559F" w:rsidRDefault="00260792">
            <w:pPr>
              <w:spacing w:line="240" w:lineRule="auto"/>
              <w:rPr>
                <w:b/>
              </w:rPr>
            </w:pPr>
            <w:r w:rsidRPr="00AC559F">
              <w:rPr>
                <w:b/>
              </w:rPr>
              <w:t>5. Projekti kooskõla Eesti pikaajalise arengustrateegia aluspõhimõtete ja sihtidega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3BBBB" w14:textId="77777777" w:rsidR="00737083" w:rsidRPr="00AC559F" w:rsidRDefault="00260792">
            <w:pPr>
              <w:spacing w:line="240" w:lineRule="auto"/>
              <w:jc w:val="center"/>
              <w:rPr>
                <w:b/>
              </w:rPr>
            </w:pPr>
            <w:r w:rsidRPr="00AC559F">
              <w:rPr>
                <w:b/>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5BFA3" w14:textId="1F85832B" w:rsidR="00737083" w:rsidRPr="00AC559F" w:rsidRDefault="00864717">
            <w:pPr>
              <w:spacing w:line="240" w:lineRule="auto"/>
              <w:jc w:val="center"/>
            </w:pPr>
            <w:r w:rsidRPr="00AC559F">
              <w:t>4</w:t>
            </w:r>
          </w:p>
        </w:tc>
        <w:tc>
          <w:tcPr>
            <w:tcW w:w="3152" w:type="dxa"/>
            <w:vAlign w:val="center"/>
          </w:tcPr>
          <w:p w14:paraId="3B35ADBA" w14:textId="77777777" w:rsidR="00737083" w:rsidRPr="00AC559F" w:rsidRDefault="00737083">
            <w:pPr>
              <w:spacing w:line="240" w:lineRule="auto"/>
            </w:pPr>
          </w:p>
        </w:tc>
      </w:tr>
      <w:tr w:rsidR="00AC559F" w:rsidRPr="00AC559F" w14:paraId="67D46BA8" w14:textId="77777777" w:rsidTr="00630D59">
        <w:trPr>
          <w:trHeight w:val="300"/>
        </w:trPr>
        <w:tc>
          <w:tcPr>
            <w:tcW w:w="6379" w:type="dxa"/>
            <w:tcBorders>
              <w:top w:val="single" w:sz="4" w:space="0" w:color="000000"/>
              <w:left w:val="single" w:sz="4" w:space="0" w:color="000000"/>
              <w:bottom w:val="nil"/>
              <w:right w:val="single" w:sz="4" w:space="0" w:color="000000"/>
            </w:tcBorders>
            <w:shd w:val="clear" w:color="auto" w:fill="auto"/>
            <w:vAlign w:val="center"/>
          </w:tcPr>
          <w:p w14:paraId="336FAC82" w14:textId="77777777" w:rsidR="00737083" w:rsidRPr="00AC559F" w:rsidRDefault="00260792">
            <w:pPr>
              <w:spacing w:line="240" w:lineRule="auto"/>
            </w:pPr>
            <w:r w:rsidRPr="00AC559F">
              <w:t xml:space="preserve">Hinnang lisaks projekti vahetutele eesmärkidele panustamine Eesti pikaajalise arengustrateegia aluspõhimõtete ja sihtidega seotud horisontaalsete põhimõtete (sooline võrdõiguslikkus, võrdsed võimalused, ligipääsetavus, kestlik areng, keskkonnakaitse ja kliimaneutraalsus ning täiendavalt regionaalareng) eesmärkide saavutamisse ja panustamine riigi pikaajalise arengustrateegia näitajasse. </w:t>
            </w:r>
          </w:p>
          <w:p w14:paraId="5E39D7CF" w14:textId="77777777" w:rsidR="00737083" w:rsidRPr="00AC559F" w:rsidRDefault="00260792">
            <w:pPr>
              <w:spacing w:line="240" w:lineRule="auto"/>
              <w:rPr>
                <w:i/>
              </w:rPr>
            </w:pPr>
            <w:r w:rsidRPr="00AC559F">
              <w:rPr>
                <w:i/>
              </w:rPr>
              <w:t>(e-toetuse taotlusvormi sisu alajaotuse andmeväljas „valdkonna ülesed näitajad“)</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8FF35" w14:textId="77777777" w:rsidR="00737083" w:rsidRPr="00AC559F" w:rsidRDefault="00260792">
            <w:pPr>
              <w:spacing w:line="240" w:lineRule="auto"/>
              <w:jc w:val="center"/>
            </w:pPr>
            <w:r w:rsidRPr="00AC559F">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37A62" w14:textId="15D2772D" w:rsidR="00737083" w:rsidRPr="00AC559F" w:rsidRDefault="00685B3F">
            <w:pPr>
              <w:spacing w:line="240" w:lineRule="auto"/>
              <w:jc w:val="center"/>
            </w:pPr>
            <w:r w:rsidRPr="00AC559F">
              <w:t>4</w:t>
            </w:r>
          </w:p>
        </w:tc>
        <w:tc>
          <w:tcPr>
            <w:tcW w:w="3152" w:type="dxa"/>
            <w:vAlign w:val="center"/>
          </w:tcPr>
          <w:p w14:paraId="1E7ACB42" w14:textId="77777777" w:rsidR="00737083" w:rsidRPr="00AC559F" w:rsidRDefault="00737083">
            <w:pPr>
              <w:spacing w:line="240" w:lineRule="auto"/>
            </w:pPr>
          </w:p>
        </w:tc>
      </w:tr>
      <w:tr w:rsidR="00AC559F" w:rsidRPr="00AC559F" w14:paraId="176E413B" w14:textId="77777777" w:rsidTr="00630D59">
        <w:trPr>
          <w:trHeight w:val="300"/>
        </w:trPr>
        <w:tc>
          <w:tcPr>
            <w:tcW w:w="921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32ED36" w14:textId="4AA9DDED" w:rsidR="00737083" w:rsidRPr="00AC559F" w:rsidRDefault="00260792">
            <w:pPr>
              <w:spacing w:line="240" w:lineRule="auto"/>
            </w:pPr>
            <w:r w:rsidRPr="00AC559F">
              <w:t>Selgitus punkti 5 hinnangute kohta:</w:t>
            </w:r>
          </w:p>
          <w:p w14:paraId="71B3ACA1" w14:textId="77777777" w:rsidR="00630D59" w:rsidRPr="00AC559F" w:rsidRDefault="00630D59">
            <w:pPr>
              <w:spacing w:line="240" w:lineRule="auto"/>
            </w:pPr>
          </w:p>
          <w:p w14:paraId="3B988D71" w14:textId="1CE5F36C" w:rsidR="00630D59" w:rsidRPr="00AC559F" w:rsidRDefault="00630D59">
            <w:pPr>
              <w:spacing w:line="240" w:lineRule="auto"/>
            </w:pPr>
            <w:r w:rsidRPr="00AC559F">
              <w:t xml:space="preserve">Projekti seos Eesti pikaajaliste arengustrateegia aluspõhimõtete ja sihtidega on valdavalt selge ja üheselt mõistetav. </w:t>
            </w:r>
          </w:p>
          <w:p w14:paraId="0FC5A4D4" w14:textId="77777777" w:rsidR="00737083" w:rsidRPr="00AC559F" w:rsidRDefault="00737083">
            <w:pPr>
              <w:spacing w:line="240" w:lineRule="auto"/>
            </w:pPr>
          </w:p>
          <w:p w14:paraId="2C5124EB" w14:textId="7A1D21E2" w:rsidR="00737083" w:rsidRPr="00AC559F" w:rsidRDefault="0037195A">
            <w:pPr>
              <w:spacing w:line="240" w:lineRule="auto"/>
            </w:pPr>
            <w:r w:rsidRPr="00AC559F">
              <w:t>Hindajad juhivad siiski tähelepanu ühele asjaolule. S</w:t>
            </w:r>
            <w:r w:rsidR="00260792" w:rsidRPr="00AC559F">
              <w:t>oolise võrdõiguslikkuse näitaja puhul mainitakse panust ver</w:t>
            </w:r>
            <w:r w:rsidR="00C27FA8" w:rsidRPr="00AC559F">
              <w:t>t</w:t>
            </w:r>
            <w:r w:rsidR="00260792" w:rsidRPr="00AC559F">
              <w:t>ikaalse segregatsiooni vähendamisele</w:t>
            </w:r>
            <w:r w:rsidR="001A069B" w:rsidRPr="00AC559F">
              <w:t xml:space="preserve"> ning paranenud tööpositsioonile</w:t>
            </w:r>
            <w:r w:rsidR="00260792" w:rsidRPr="00AC559F">
              <w:t xml:space="preserve"> samas pakutavad koolitused</w:t>
            </w:r>
            <w:r w:rsidR="001A069B" w:rsidRPr="00AC559F">
              <w:t xml:space="preserve"> on suunatud</w:t>
            </w:r>
            <w:r w:rsidR="00260792" w:rsidRPr="00AC559F">
              <w:t xml:space="preserve">  IKT valdkon</w:t>
            </w:r>
            <w:r w:rsidR="001A069B" w:rsidRPr="00AC559F">
              <w:t>d</w:t>
            </w:r>
            <w:r w:rsidR="00260792" w:rsidRPr="00AC559F">
              <w:t>a sisenemise</w:t>
            </w:r>
            <w:r w:rsidR="001A069B" w:rsidRPr="00AC559F">
              <w:t xml:space="preserve">ks vajalike oskuste omandamisele (IT tugispetsialist, </w:t>
            </w:r>
            <w:r w:rsidR="00192CB1" w:rsidRPr="00AC559F">
              <w:t>IT Automatiseerimine Pythoniga</w:t>
            </w:r>
            <w:r w:rsidR="001A069B" w:rsidRPr="00AC559F">
              <w:t xml:space="preserve">  jne) mis ei pruugi </w:t>
            </w:r>
            <w:r w:rsidR="00192CB1" w:rsidRPr="00AC559F">
              <w:t xml:space="preserve">kaasa tuua kõrgemat </w:t>
            </w:r>
            <w:r w:rsidR="001A069B" w:rsidRPr="00AC559F">
              <w:t>positsiooni karjääriredelil.</w:t>
            </w:r>
            <w:r w:rsidR="00192CB1" w:rsidRPr="00AC559F">
              <w:t xml:space="preserve"> Naiste toetamine kõrgemalt tasustatud IKT sektorisse sisenemisel vähendab segregatsiooni mitte vertikaalse</w:t>
            </w:r>
            <w:r w:rsidRPr="00AC559F">
              <w:t>l</w:t>
            </w:r>
            <w:r w:rsidR="00192CB1" w:rsidRPr="00AC559F">
              <w:t>t vaid horisontaalse</w:t>
            </w:r>
            <w:r w:rsidRPr="00AC559F">
              <w:t>l</w:t>
            </w:r>
            <w:r w:rsidR="00192CB1" w:rsidRPr="00AC559F">
              <w:t>t</w:t>
            </w:r>
            <w:r w:rsidR="007443A9" w:rsidRPr="00AC559F">
              <w:t>.</w:t>
            </w:r>
            <w:r w:rsidR="00260792" w:rsidRPr="00AC559F">
              <w:t xml:space="preserve"> </w:t>
            </w:r>
          </w:p>
          <w:p w14:paraId="6C8D0C29" w14:textId="77777777" w:rsidR="00737083" w:rsidRPr="00AC559F" w:rsidRDefault="00737083" w:rsidP="007443A9">
            <w:pPr>
              <w:spacing w:line="240" w:lineRule="auto"/>
            </w:pPr>
          </w:p>
        </w:tc>
        <w:tc>
          <w:tcPr>
            <w:tcW w:w="3152" w:type="dxa"/>
            <w:vAlign w:val="center"/>
          </w:tcPr>
          <w:p w14:paraId="7A1875DB" w14:textId="77777777" w:rsidR="00737083" w:rsidRPr="00AC559F" w:rsidRDefault="00737083">
            <w:pPr>
              <w:spacing w:line="240" w:lineRule="auto"/>
            </w:pPr>
          </w:p>
        </w:tc>
      </w:tr>
      <w:tr w:rsidR="00AC559F" w:rsidRPr="00AC559F" w14:paraId="413B4BDA" w14:textId="77777777" w:rsidTr="00630D59">
        <w:trPr>
          <w:trHeight w:val="300"/>
        </w:trPr>
        <w:tc>
          <w:tcPr>
            <w:tcW w:w="921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C932D8" w14:textId="77777777" w:rsidR="00737083" w:rsidRPr="00AC559F" w:rsidRDefault="00737083">
            <w:pPr>
              <w:pBdr>
                <w:top w:val="nil"/>
                <w:left w:val="nil"/>
                <w:bottom w:val="nil"/>
                <w:right w:val="nil"/>
                <w:between w:val="nil"/>
              </w:pBdr>
              <w:spacing w:line="276" w:lineRule="auto"/>
              <w:jc w:val="left"/>
            </w:pPr>
          </w:p>
        </w:tc>
        <w:tc>
          <w:tcPr>
            <w:tcW w:w="3152" w:type="dxa"/>
            <w:tcBorders>
              <w:top w:val="nil"/>
              <w:left w:val="nil"/>
              <w:bottom w:val="nil"/>
              <w:right w:val="nil"/>
            </w:tcBorders>
            <w:shd w:val="clear" w:color="auto" w:fill="auto"/>
            <w:vAlign w:val="bottom"/>
          </w:tcPr>
          <w:p w14:paraId="70B0946F" w14:textId="77777777" w:rsidR="00737083" w:rsidRPr="00AC559F" w:rsidRDefault="00737083">
            <w:pPr>
              <w:spacing w:line="240" w:lineRule="auto"/>
            </w:pPr>
          </w:p>
        </w:tc>
      </w:tr>
      <w:tr w:rsidR="00AC559F" w:rsidRPr="00AC559F" w14:paraId="2FD2D0AA" w14:textId="77777777" w:rsidTr="00630D59">
        <w:trPr>
          <w:trHeight w:val="300"/>
        </w:trPr>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9C8D5" w14:textId="77777777" w:rsidR="00737083" w:rsidRPr="00AC559F" w:rsidRDefault="00260792">
            <w:pPr>
              <w:spacing w:line="240" w:lineRule="auto"/>
              <w:rPr>
                <w:b/>
              </w:rPr>
            </w:pPr>
            <w:r w:rsidRPr="00AC559F">
              <w:rPr>
                <w:b/>
              </w:rPr>
              <w:t>Maksimaalne üldhinne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A56AA" w14:textId="77777777" w:rsidR="00737083" w:rsidRPr="00AC559F" w:rsidRDefault="00260792">
            <w:pPr>
              <w:spacing w:line="240" w:lineRule="auto"/>
              <w:jc w:val="center"/>
              <w:rPr>
                <w:b/>
              </w:rPr>
            </w:pPr>
            <w:r w:rsidRPr="00AC559F">
              <w:rPr>
                <w:b/>
              </w:rPr>
              <w:t>33 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B95F2" w14:textId="23DD2CA4" w:rsidR="00737083" w:rsidRPr="00AC559F" w:rsidRDefault="00260792">
            <w:pPr>
              <w:spacing w:line="240" w:lineRule="auto"/>
            </w:pPr>
            <w:r w:rsidRPr="00AC559F">
              <w:t> </w:t>
            </w:r>
            <w:r w:rsidR="00B512CF" w:rsidRPr="00AC559F">
              <w:t>2</w:t>
            </w:r>
            <w:r w:rsidR="00685B3F" w:rsidRPr="00AC559F">
              <w:t>3</w:t>
            </w:r>
          </w:p>
        </w:tc>
        <w:tc>
          <w:tcPr>
            <w:tcW w:w="3152" w:type="dxa"/>
            <w:tcBorders>
              <w:left w:val="single" w:sz="4" w:space="0" w:color="000000"/>
            </w:tcBorders>
            <w:vAlign w:val="center"/>
          </w:tcPr>
          <w:p w14:paraId="501424C1" w14:textId="77777777" w:rsidR="00737083" w:rsidRPr="00AC559F" w:rsidRDefault="00737083">
            <w:pPr>
              <w:spacing w:line="240" w:lineRule="auto"/>
            </w:pPr>
          </w:p>
        </w:tc>
      </w:tr>
      <w:tr w:rsidR="00737083" w:rsidRPr="00AC559F" w14:paraId="3BBCDBCD" w14:textId="77777777" w:rsidTr="00630D59">
        <w:trPr>
          <w:trHeight w:val="300"/>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59BC759" w14:textId="77777777" w:rsidR="00737083" w:rsidRPr="00AC559F" w:rsidRDefault="00260792">
            <w:pPr>
              <w:spacing w:line="240" w:lineRule="auto"/>
              <w:rPr>
                <w:b/>
              </w:rPr>
            </w:pPr>
            <w:r w:rsidRPr="00AC559F">
              <w:rPr>
                <w:b/>
              </w:rPr>
              <w:lastRenderedPageBreak/>
              <w:t xml:space="preserve">6. Ettepanek </w:t>
            </w:r>
            <w:r w:rsidRPr="00AC559F">
              <w:rPr>
                <w:b/>
                <w:vertAlign w:val="superscript"/>
              </w:rPr>
              <w:footnoteReference w:id="5"/>
            </w:r>
          </w:p>
          <w:p w14:paraId="043B8704" w14:textId="77777777" w:rsidR="00737083" w:rsidRPr="00AC559F" w:rsidRDefault="00737083">
            <w:pPr>
              <w:spacing w:line="240" w:lineRule="auto"/>
              <w:rPr>
                <w:b/>
              </w:rPr>
            </w:pPr>
          </w:p>
          <w:p w14:paraId="7AB74438" w14:textId="77777777" w:rsidR="00737083" w:rsidRPr="00AC559F" w:rsidRDefault="00737083">
            <w:pPr>
              <w:spacing w:line="240" w:lineRule="auto"/>
              <w:rPr>
                <w:b/>
              </w:rPr>
            </w:pPr>
          </w:p>
          <w:p w14:paraId="63C11925" w14:textId="77777777" w:rsidR="00737083" w:rsidRPr="00AC559F" w:rsidRDefault="00260792">
            <w:pPr>
              <w:ind w:left="720"/>
            </w:pPr>
            <w:r w:rsidRPr="00AC559F">
              <w:t xml:space="preserve">☐ rahuldada taotlus osalises mahus; </w:t>
            </w:r>
          </w:p>
          <w:p w14:paraId="01EE8393" w14:textId="77777777" w:rsidR="00737083" w:rsidRPr="00AC559F" w:rsidRDefault="00737083"/>
          <w:p w14:paraId="363A5DCB" w14:textId="77777777" w:rsidR="00737083" w:rsidRPr="00AC559F" w:rsidRDefault="00260792">
            <w:r w:rsidRPr="00AC559F">
              <w:t>Ettepaneku põhjendus</w:t>
            </w:r>
            <w:r w:rsidRPr="00AC559F">
              <w:rPr>
                <w:vertAlign w:val="superscript"/>
              </w:rPr>
              <w:footnoteReference w:id="6"/>
            </w:r>
            <w:r w:rsidRPr="00AC559F">
              <w:t xml:space="preserve">: </w:t>
            </w:r>
          </w:p>
          <w:p w14:paraId="782D01D9" w14:textId="77777777" w:rsidR="00737083" w:rsidRPr="00AC559F" w:rsidRDefault="00737083">
            <w:pPr>
              <w:ind w:left="720"/>
            </w:pPr>
          </w:p>
          <w:p w14:paraId="71ACCF26" w14:textId="77777777" w:rsidR="00737083" w:rsidRPr="00AC559F" w:rsidRDefault="00737083">
            <w:pPr>
              <w:ind w:left="720"/>
            </w:pPr>
          </w:p>
          <w:p w14:paraId="0D93E59C" w14:textId="77777777" w:rsidR="00737083" w:rsidRPr="00AC559F" w:rsidRDefault="00737083">
            <w:pPr>
              <w:ind w:left="720"/>
            </w:pPr>
          </w:p>
          <w:p w14:paraId="7DDC4E6F" w14:textId="48EFF938" w:rsidR="00737083" w:rsidRPr="00AC559F" w:rsidRDefault="00422216">
            <w:pPr>
              <w:ind w:left="720"/>
              <w:rPr>
                <w:b/>
              </w:rPr>
            </w:pPr>
            <w:r w:rsidRPr="00AC559F">
              <w:rPr>
                <w:b/>
                <w:bCs/>
              </w:rPr>
              <w:t>X</w:t>
            </w:r>
            <w:r w:rsidRPr="00AC559F">
              <w:t xml:space="preserve"> </w:t>
            </w:r>
            <w:r w:rsidR="00260792" w:rsidRPr="00AC559F">
              <w:t>rahuldada taotlus taotletud mahus.</w:t>
            </w:r>
          </w:p>
          <w:p w14:paraId="07BA0472" w14:textId="77777777" w:rsidR="00737083" w:rsidRPr="00AC559F" w:rsidRDefault="00260792">
            <w:r w:rsidRPr="00AC559F">
              <w:t>Ettepaneku põhjendus</w:t>
            </w:r>
            <w:r w:rsidRPr="00AC559F">
              <w:rPr>
                <w:vertAlign w:val="superscript"/>
              </w:rPr>
              <w:footnoteReference w:id="7"/>
            </w:r>
            <w:r w:rsidRPr="00AC559F">
              <w:t xml:space="preserve">: </w:t>
            </w:r>
          </w:p>
          <w:p w14:paraId="0649304E" w14:textId="77777777" w:rsidR="00737083" w:rsidRPr="00AC559F" w:rsidRDefault="00737083">
            <w:pPr>
              <w:spacing w:line="240" w:lineRule="auto"/>
            </w:pPr>
          </w:p>
          <w:p w14:paraId="40CEDE3A" w14:textId="77777777" w:rsidR="00737083" w:rsidRPr="00AC559F" w:rsidRDefault="00737083">
            <w:pPr>
              <w:spacing w:line="240" w:lineRule="auto"/>
            </w:pPr>
          </w:p>
          <w:p w14:paraId="5B303242" w14:textId="77777777" w:rsidR="00737083" w:rsidRPr="00AC559F" w:rsidRDefault="00737083">
            <w:pPr>
              <w:spacing w:line="240" w:lineRule="auto"/>
            </w:pPr>
          </w:p>
          <w:p w14:paraId="6304E9FD" w14:textId="77777777" w:rsidR="00737083" w:rsidRPr="00AC559F" w:rsidRDefault="00737083">
            <w:pPr>
              <w:spacing w:line="240" w:lineRule="auto"/>
            </w:pPr>
          </w:p>
        </w:tc>
        <w:tc>
          <w:tcPr>
            <w:tcW w:w="3152" w:type="dxa"/>
            <w:tcBorders>
              <w:left w:val="single" w:sz="4" w:space="0" w:color="000000"/>
            </w:tcBorders>
            <w:vAlign w:val="center"/>
          </w:tcPr>
          <w:p w14:paraId="4E916AD9" w14:textId="77777777" w:rsidR="00737083" w:rsidRPr="00AC559F" w:rsidRDefault="00737083">
            <w:pPr>
              <w:spacing w:line="240" w:lineRule="auto"/>
            </w:pPr>
          </w:p>
        </w:tc>
      </w:tr>
    </w:tbl>
    <w:p w14:paraId="57492090" w14:textId="77777777" w:rsidR="00737083" w:rsidRPr="00AC559F" w:rsidRDefault="00737083">
      <w:pPr>
        <w:jc w:val="left"/>
      </w:pPr>
    </w:p>
    <w:p w14:paraId="2B730D07" w14:textId="77777777" w:rsidR="00737083" w:rsidRPr="00AC559F" w:rsidRDefault="00737083"/>
    <w:sectPr w:rsidR="00737083" w:rsidRPr="00AC559F">
      <w:headerReference w:type="default" r:id="rId9"/>
      <w:foot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7C5CA" w14:textId="77777777" w:rsidR="00022E12" w:rsidRDefault="00022E12">
      <w:pPr>
        <w:spacing w:line="240" w:lineRule="auto"/>
      </w:pPr>
      <w:r>
        <w:separator/>
      </w:r>
    </w:p>
  </w:endnote>
  <w:endnote w:type="continuationSeparator" w:id="0">
    <w:p w14:paraId="513BD246" w14:textId="77777777" w:rsidR="00022E12" w:rsidRDefault="00022E12">
      <w:pPr>
        <w:spacing w:line="240" w:lineRule="auto"/>
      </w:pPr>
      <w:r>
        <w:continuationSeparator/>
      </w:r>
    </w:p>
  </w:endnote>
  <w:endnote w:type="continuationNotice" w:id="1">
    <w:p w14:paraId="0350E48C" w14:textId="77777777" w:rsidR="00630D59" w:rsidRDefault="00630D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embedRegular r:id="rId1" w:fontKey="{C8ECA373-26A4-4B32-8D4F-242DE99DE808}"/>
  </w:font>
  <w:font w:name="Aptos">
    <w:charset w:val="00"/>
    <w:family w:val="swiss"/>
    <w:pitch w:val="variable"/>
    <w:sig w:usb0="20000287" w:usb1="00000003" w:usb2="00000000" w:usb3="00000000" w:csb0="0000019F" w:csb1="00000000"/>
    <w:embedRegular r:id="rId2" w:fontKey="{CF3B3E02-FCCA-4213-A9DA-7D12AFEAE9C5}"/>
    <w:embedItalic r:id="rId3" w:fontKey="{2DB65C4B-8FA5-4CD8-AD59-0797C4734E34}"/>
  </w:font>
  <w:font w:name="Mangal">
    <w:panose1 w:val="00000400000000000000"/>
    <w:charset w:val="00"/>
    <w:family w:val="roman"/>
    <w:pitch w:val="variable"/>
    <w:sig w:usb0="00008003" w:usb1="00000000" w:usb2="00000000" w:usb3="00000000" w:csb0="00000001" w:csb1="00000000"/>
    <w:embedRegular r:id="rId4" w:fontKey="{97BDE933-924F-48F3-9FA8-A0F285B1A810}"/>
    <w:embedBold r:id="rId5" w:fontKey="{6B264AC7-97A6-4D9B-BD0E-6599891DA2FB}"/>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43764" w14:textId="77777777" w:rsidR="00630D59" w:rsidRDefault="00630D5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195EE" w14:textId="77777777" w:rsidR="00022E12" w:rsidRDefault="00022E12">
      <w:pPr>
        <w:spacing w:line="240" w:lineRule="auto"/>
      </w:pPr>
      <w:r>
        <w:separator/>
      </w:r>
    </w:p>
  </w:footnote>
  <w:footnote w:type="continuationSeparator" w:id="0">
    <w:p w14:paraId="67B971F2" w14:textId="77777777" w:rsidR="00022E12" w:rsidRDefault="00022E12">
      <w:pPr>
        <w:spacing w:line="240" w:lineRule="auto"/>
      </w:pPr>
      <w:r>
        <w:continuationSeparator/>
      </w:r>
    </w:p>
  </w:footnote>
  <w:footnote w:type="continuationNotice" w:id="1">
    <w:p w14:paraId="67133DDD" w14:textId="77777777" w:rsidR="00630D59" w:rsidRDefault="00630D59">
      <w:pPr>
        <w:spacing w:line="240" w:lineRule="auto"/>
      </w:pPr>
    </w:p>
  </w:footnote>
  <w:footnote w:id="2">
    <w:p w14:paraId="2F88DB59" w14:textId="2B95058F" w:rsidR="00740AE9" w:rsidRDefault="00740AE9">
      <w:pPr>
        <w:pStyle w:val="Allmrkusetekst"/>
      </w:pPr>
      <w:r>
        <w:rPr>
          <w:rStyle w:val="Allmrkuseviide"/>
        </w:rPr>
        <w:footnoteRef/>
      </w:r>
      <w:r>
        <w:t xml:space="preserve"> </w:t>
      </w:r>
      <w:proofErr w:type="spellStart"/>
      <w:r>
        <w:t>Eurostati</w:t>
      </w:r>
      <w:proofErr w:type="spellEnd"/>
      <w:r>
        <w:t xml:space="preserve"> andmetel töötas aastal 2023 Eesti IKT sektoris ning IKT-</w:t>
      </w:r>
      <w:proofErr w:type="spellStart"/>
      <w:r>
        <w:t>ga</w:t>
      </w:r>
      <w:proofErr w:type="spellEnd"/>
      <w:r>
        <w:t xml:space="preserve"> seotud aladel 46,5 tuhat naist - </w:t>
      </w:r>
      <w:hyperlink r:id="rId1" w:history="1">
        <w:r w:rsidRPr="00244925">
          <w:rPr>
            <w:rStyle w:val="Hperlink"/>
          </w:rPr>
          <w:t>https://ec.europa.eu/eurostat/databrowser/view/isoc_sks_itspt/default/table?lang=en&amp;category=isoc.isoc_sk.isoc_sks.isoc_skslf</w:t>
        </w:r>
      </w:hyperlink>
    </w:p>
  </w:footnote>
  <w:footnote w:id="3">
    <w:p w14:paraId="376EE9CA" w14:textId="45F975EA" w:rsidR="00740AE9" w:rsidRPr="00226F02" w:rsidRDefault="00740AE9" w:rsidP="00740AE9">
      <w:pPr>
        <w:spacing w:before="240" w:after="240" w:line="276" w:lineRule="auto"/>
        <w:rPr>
          <w:rFonts w:asciiTheme="minorHAnsi" w:eastAsiaTheme="minorHAnsi" w:hAnsiTheme="minorHAnsi" w:cstheme="minorBidi"/>
          <w:kern w:val="0"/>
          <w:sz w:val="20"/>
          <w:szCs w:val="20"/>
          <w:lang w:eastAsia="en-US" w:bidi="ar-SA"/>
        </w:rPr>
      </w:pPr>
      <w:r>
        <w:rPr>
          <w:rStyle w:val="Allmrkuseviide"/>
        </w:rPr>
        <w:footnoteRef/>
      </w:r>
      <w:r w:rsidRPr="00226F02">
        <w:rPr>
          <w:rFonts w:asciiTheme="minorHAnsi" w:eastAsiaTheme="minorHAnsi" w:hAnsiTheme="minorHAnsi" w:cstheme="minorBidi"/>
          <w:kern w:val="0"/>
          <w:sz w:val="20"/>
          <w:szCs w:val="20"/>
          <w:lang w:eastAsia="en-US" w:bidi="ar-SA"/>
        </w:rPr>
        <w:t xml:space="preserve">ICT </w:t>
      </w:r>
      <w:proofErr w:type="spellStart"/>
      <w:r w:rsidRPr="00226F02">
        <w:rPr>
          <w:rFonts w:asciiTheme="minorHAnsi" w:eastAsiaTheme="minorHAnsi" w:hAnsiTheme="minorHAnsi" w:cstheme="minorBidi"/>
          <w:kern w:val="0"/>
          <w:sz w:val="20"/>
          <w:szCs w:val="20"/>
          <w:lang w:eastAsia="en-US" w:bidi="ar-SA"/>
        </w:rPr>
        <w:t>specialists</w:t>
      </w:r>
      <w:proofErr w:type="spellEnd"/>
      <w:r w:rsidRPr="00226F02">
        <w:rPr>
          <w:rFonts w:asciiTheme="minorHAnsi" w:eastAsiaTheme="minorHAnsi" w:hAnsiTheme="minorHAnsi" w:cstheme="minorBidi"/>
          <w:kern w:val="0"/>
          <w:sz w:val="20"/>
          <w:szCs w:val="20"/>
          <w:lang w:eastAsia="en-US" w:bidi="ar-SA"/>
        </w:rPr>
        <w:t xml:space="preserve"> in </w:t>
      </w:r>
      <w:proofErr w:type="spellStart"/>
      <w:r w:rsidRPr="00226F02">
        <w:rPr>
          <w:rFonts w:asciiTheme="minorHAnsi" w:eastAsiaTheme="minorHAnsi" w:hAnsiTheme="minorHAnsi" w:cstheme="minorBidi"/>
          <w:kern w:val="0"/>
          <w:sz w:val="20"/>
          <w:szCs w:val="20"/>
          <w:lang w:eastAsia="en-US" w:bidi="ar-SA"/>
        </w:rPr>
        <w:t>employment</w:t>
      </w:r>
      <w:proofErr w:type="spellEnd"/>
      <w:r w:rsidRPr="00226F02">
        <w:rPr>
          <w:rFonts w:asciiTheme="minorHAnsi" w:eastAsiaTheme="minorHAnsi" w:hAnsiTheme="minorHAnsi" w:cstheme="minorBidi"/>
          <w:kern w:val="0"/>
          <w:sz w:val="20"/>
          <w:szCs w:val="20"/>
          <w:lang w:eastAsia="en-US" w:bidi="ar-SA"/>
        </w:rPr>
        <w:t xml:space="preserve"> - https://ec.europa.eu/eurostat/statistics-explained/index.php?title=ICT_specialists_in_employment</w:t>
      </w:r>
    </w:p>
    <w:p w14:paraId="4C7FB2ED" w14:textId="350BCE0A" w:rsidR="00740AE9" w:rsidRDefault="00740AE9">
      <w:pPr>
        <w:pStyle w:val="Allmrkusetekst"/>
      </w:pPr>
    </w:p>
  </w:footnote>
  <w:footnote w:id="4">
    <w:p w14:paraId="075B4870" w14:textId="47D0D7A4" w:rsidR="00740AE9" w:rsidRPr="00740AE9" w:rsidRDefault="00740AE9" w:rsidP="00740AE9">
      <w:pPr>
        <w:pStyle w:val="Allmrkusetekst"/>
      </w:pPr>
      <w:r>
        <w:rPr>
          <w:rStyle w:val="Allmrkuseviide"/>
        </w:rPr>
        <w:footnoteRef/>
      </w:r>
      <w:r>
        <w:t xml:space="preserve"> </w:t>
      </w:r>
      <w:r w:rsidRPr="00740AE9">
        <w:t xml:space="preserve">IT-tööturg 2024. </w:t>
      </w:r>
      <w:r>
        <w:t>a</w:t>
      </w:r>
      <w:r w:rsidRPr="00740AE9">
        <w:t>astal</w:t>
      </w:r>
      <w:r>
        <w:t xml:space="preserve"> - </w:t>
      </w:r>
      <w:hyperlink r:id="rId2" w:history="1">
        <w:r w:rsidRPr="00244925">
          <w:rPr>
            <w:rStyle w:val="Hperlink"/>
          </w:rPr>
          <w:t>https://digipro.geenius.ee/blogi/it-ekspress/it-tooturg-2024-aastal-inimestest-on-jatkuvalt-suur-puudus-aga-midagi-on-siiski-muutumas/</w:t>
        </w:r>
      </w:hyperlink>
      <w:r>
        <w:t xml:space="preserve"> - ja </w:t>
      </w:r>
      <w:r w:rsidRPr="00226F02">
        <w:t>IT-tudengid ei leia tööd - https://ekspress.delfi.ee/artikkel/120316845/it-tudengid-ei-leia-tood-olukord-on-absurdne</w:t>
      </w:r>
    </w:p>
    <w:p w14:paraId="65B4FCD1" w14:textId="53F6B04D" w:rsidR="00740AE9" w:rsidRDefault="00740AE9">
      <w:pPr>
        <w:pStyle w:val="Allmrkusetekst"/>
      </w:pPr>
    </w:p>
  </w:footnote>
  <w:footnote w:id="5">
    <w:p w14:paraId="78D0F94F" w14:textId="77777777" w:rsidR="00737083" w:rsidRDefault="00260792">
      <w:pPr>
        <w:widowControl/>
        <w:pBdr>
          <w:top w:val="nil"/>
          <w:left w:val="nil"/>
          <w:bottom w:val="nil"/>
          <w:right w:val="nil"/>
          <w:between w:val="nil"/>
        </w:pBdr>
        <w:spacing w:line="240" w:lineRule="auto"/>
        <w:jc w:val="left"/>
        <w:rPr>
          <w:rFonts w:ascii="Aptos" w:eastAsia="Aptos" w:hAnsi="Aptos" w:cs="Aptos"/>
          <w:color w:val="000000"/>
          <w:sz w:val="20"/>
          <w:szCs w:val="20"/>
        </w:rPr>
      </w:pPr>
      <w:r>
        <w:rPr>
          <w:vertAlign w:val="superscript"/>
        </w:rPr>
        <w:footnoteRef/>
      </w:r>
      <w:r>
        <w:rPr>
          <w:rFonts w:ascii="Aptos" w:eastAsia="Aptos" w:hAnsi="Aptos" w:cs="Aptos"/>
          <w:color w:val="000000"/>
          <w:sz w:val="20"/>
          <w:szCs w:val="20"/>
        </w:rPr>
        <w:t xml:space="preserve"> </w:t>
      </w:r>
      <w:r>
        <w:rPr>
          <w:rFonts w:ascii="Arial" w:eastAsia="Arial" w:hAnsi="Arial" w:cs="Arial"/>
          <w:color w:val="000000"/>
          <w:sz w:val="16"/>
          <w:szCs w:val="16"/>
        </w:rPr>
        <w:t xml:space="preserve">Lahter täidetakse juhul, kui maksimaalne </w:t>
      </w:r>
      <w:proofErr w:type="spellStart"/>
      <w:r>
        <w:rPr>
          <w:rFonts w:ascii="Arial" w:eastAsia="Arial" w:hAnsi="Arial" w:cs="Arial"/>
          <w:color w:val="000000"/>
          <w:sz w:val="16"/>
          <w:szCs w:val="16"/>
        </w:rPr>
        <w:t>üldhinne</w:t>
      </w:r>
      <w:proofErr w:type="spellEnd"/>
      <w:r>
        <w:rPr>
          <w:rFonts w:ascii="Arial" w:eastAsia="Arial" w:hAnsi="Arial" w:cs="Arial"/>
          <w:color w:val="000000"/>
          <w:sz w:val="16"/>
          <w:szCs w:val="16"/>
        </w:rPr>
        <w:t xml:space="preserve"> on 19 punkti või rohkem</w:t>
      </w:r>
    </w:p>
  </w:footnote>
  <w:footnote w:id="6">
    <w:p w14:paraId="03F936C7" w14:textId="77777777" w:rsidR="00737083" w:rsidRDefault="00260792">
      <w:pPr>
        <w:widowControl/>
        <w:pBdr>
          <w:top w:val="nil"/>
          <w:left w:val="nil"/>
          <w:bottom w:val="nil"/>
          <w:right w:val="nil"/>
          <w:between w:val="nil"/>
        </w:pBdr>
        <w:spacing w:line="240" w:lineRule="auto"/>
        <w:jc w:val="left"/>
        <w:rPr>
          <w:rFonts w:ascii="Aptos" w:eastAsia="Aptos" w:hAnsi="Aptos" w:cs="Aptos"/>
          <w:color w:val="000000"/>
          <w:sz w:val="20"/>
          <w:szCs w:val="20"/>
        </w:rPr>
      </w:pPr>
      <w:r>
        <w:rPr>
          <w:vertAlign w:val="superscript"/>
        </w:rPr>
        <w:footnoteRef/>
      </w:r>
      <w:r>
        <w:rPr>
          <w:rFonts w:ascii="Aptos" w:eastAsia="Aptos" w:hAnsi="Aptos" w:cs="Aptos"/>
          <w:color w:val="000000"/>
          <w:sz w:val="20"/>
          <w:szCs w:val="20"/>
        </w:rPr>
        <w:t xml:space="preserve"> </w:t>
      </w:r>
      <w:r>
        <w:rPr>
          <w:rFonts w:ascii="Aptos" w:eastAsia="Aptos" w:hAnsi="Aptos" w:cs="Aptos"/>
          <w:color w:val="000000"/>
          <w:sz w:val="16"/>
          <w:szCs w:val="16"/>
        </w:rPr>
        <w:t>Osalises mahus rahastamise põhjendus</w:t>
      </w:r>
    </w:p>
  </w:footnote>
  <w:footnote w:id="7">
    <w:p w14:paraId="0AB71323" w14:textId="77777777" w:rsidR="00737083" w:rsidRDefault="00260792">
      <w:pPr>
        <w:widowControl/>
        <w:pBdr>
          <w:top w:val="nil"/>
          <w:left w:val="nil"/>
          <w:bottom w:val="nil"/>
          <w:right w:val="nil"/>
          <w:between w:val="nil"/>
        </w:pBdr>
        <w:spacing w:line="240" w:lineRule="auto"/>
        <w:jc w:val="left"/>
        <w:rPr>
          <w:rFonts w:ascii="Arial" w:eastAsia="Arial" w:hAnsi="Arial" w:cs="Arial"/>
          <w:color w:val="000000"/>
          <w:sz w:val="16"/>
          <w:szCs w:val="16"/>
        </w:rPr>
      </w:pPr>
      <w:r>
        <w:rPr>
          <w:vertAlign w:val="superscript"/>
        </w:rPr>
        <w:footnoteRef/>
      </w:r>
      <w:r>
        <w:rPr>
          <w:rFonts w:ascii="Aptos" w:eastAsia="Aptos" w:hAnsi="Aptos" w:cs="Aptos"/>
          <w:color w:val="000000"/>
          <w:sz w:val="20"/>
          <w:szCs w:val="20"/>
        </w:rPr>
        <w:t xml:space="preserve"> </w:t>
      </w:r>
      <w:r>
        <w:rPr>
          <w:rFonts w:ascii="Arial" w:eastAsia="Arial" w:hAnsi="Arial" w:cs="Arial"/>
          <w:color w:val="000000"/>
          <w:sz w:val="16"/>
          <w:szCs w:val="16"/>
        </w:rPr>
        <w:t>Kasutatakse vajaduse täiendava ettepaneku tegemisel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6E377" w14:textId="77777777" w:rsidR="00630D59" w:rsidRDefault="00630D59">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1CCC"/>
    <w:multiLevelType w:val="multilevel"/>
    <w:tmpl w:val="D206A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TrueTypeFonts/>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83"/>
    <w:rsid w:val="00022E12"/>
    <w:rsid w:val="00026590"/>
    <w:rsid w:val="000864F3"/>
    <w:rsid w:val="000E1A0F"/>
    <w:rsid w:val="00125BD7"/>
    <w:rsid w:val="00156035"/>
    <w:rsid w:val="00192CB1"/>
    <w:rsid w:val="001A069B"/>
    <w:rsid w:val="001B0A89"/>
    <w:rsid w:val="001F6ACB"/>
    <w:rsid w:val="00214C28"/>
    <w:rsid w:val="00222DB0"/>
    <w:rsid w:val="00226F02"/>
    <w:rsid w:val="002605F9"/>
    <w:rsid w:val="00260792"/>
    <w:rsid w:val="002F05F7"/>
    <w:rsid w:val="003021DD"/>
    <w:rsid w:val="00354C96"/>
    <w:rsid w:val="00360645"/>
    <w:rsid w:val="0037195A"/>
    <w:rsid w:val="003F6361"/>
    <w:rsid w:val="00422216"/>
    <w:rsid w:val="00423219"/>
    <w:rsid w:val="00444BDC"/>
    <w:rsid w:val="004A2ED9"/>
    <w:rsid w:val="004B113B"/>
    <w:rsid w:val="004D3F1B"/>
    <w:rsid w:val="00562716"/>
    <w:rsid w:val="005B075A"/>
    <w:rsid w:val="005B0D71"/>
    <w:rsid w:val="005C2E8F"/>
    <w:rsid w:val="00605686"/>
    <w:rsid w:val="00630D59"/>
    <w:rsid w:val="006435AB"/>
    <w:rsid w:val="00685B3F"/>
    <w:rsid w:val="006A1DAD"/>
    <w:rsid w:val="006B570A"/>
    <w:rsid w:val="006C6AA2"/>
    <w:rsid w:val="006E7F5E"/>
    <w:rsid w:val="00705C5E"/>
    <w:rsid w:val="00737083"/>
    <w:rsid w:val="00740AE9"/>
    <w:rsid w:val="007443A9"/>
    <w:rsid w:val="00752E0D"/>
    <w:rsid w:val="00757A58"/>
    <w:rsid w:val="0076646D"/>
    <w:rsid w:val="00864717"/>
    <w:rsid w:val="0087458C"/>
    <w:rsid w:val="008B0149"/>
    <w:rsid w:val="00900488"/>
    <w:rsid w:val="00923ABB"/>
    <w:rsid w:val="0099295E"/>
    <w:rsid w:val="009B3055"/>
    <w:rsid w:val="009F728D"/>
    <w:rsid w:val="00A0010F"/>
    <w:rsid w:val="00A66D08"/>
    <w:rsid w:val="00AA2270"/>
    <w:rsid w:val="00AC559F"/>
    <w:rsid w:val="00AE28D6"/>
    <w:rsid w:val="00AF21AE"/>
    <w:rsid w:val="00AF508C"/>
    <w:rsid w:val="00B512CF"/>
    <w:rsid w:val="00B659E2"/>
    <w:rsid w:val="00B6627D"/>
    <w:rsid w:val="00BA7A00"/>
    <w:rsid w:val="00C12D0D"/>
    <w:rsid w:val="00C237B0"/>
    <w:rsid w:val="00C27FA8"/>
    <w:rsid w:val="00C46EA7"/>
    <w:rsid w:val="00D539A2"/>
    <w:rsid w:val="00DA4E27"/>
    <w:rsid w:val="00E4733D"/>
    <w:rsid w:val="00E6163D"/>
    <w:rsid w:val="00F57016"/>
    <w:rsid w:val="00F60BF9"/>
    <w:rsid w:val="00F67BAA"/>
    <w:rsid w:val="00FF549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E4496E"/>
  <w15:docId w15:val="{60A6802D-4A50-4981-A132-F2C6AD301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t-EE" w:eastAsia="et-EE" w:bidi="ar-SA"/>
      </w:rPr>
    </w:rPrDefault>
    <w:pPrDefault>
      <w:pPr>
        <w:widowControl w:val="0"/>
        <w:spacing w:line="23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E21C9"/>
    <w:pPr>
      <w:suppressAutoHyphens/>
      <w:spacing w:line="238" w:lineRule="exact"/>
    </w:pPr>
    <w:rPr>
      <w:rFonts w:eastAsia="SimSun"/>
      <w:kern w:val="1"/>
      <w:lang w:eastAsia="zh-CN" w:bidi="hi-IN"/>
    </w:rPr>
  </w:style>
  <w:style w:type="paragraph" w:styleId="Pealkiri1">
    <w:name w:val="heading 1"/>
    <w:basedOn w:val="Normaallaad"/>
    <w:next w:val="Normaallaad"/>
    <w:link w:val="Pealkiri1Mrk"/>
    <w:uiPriority w:val="9"/>
    <w:qFormat/>
    <w:rsid w:val="00FE21C9"/>
    <w:pPr>
      <w:keepNext/>
      <w:keepLines/>
      <w:widowControl/>
      <w:suppressAutoHyphens w:val="0"/>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lang w:eastAsia="en-US" w:bidi="ar-SA"/>
    </w:rPr>
  </w:style>
  <w:style w:type="paragraph" w:styleId="Pealkiri2">
    <w:name w:val="heading 2"/>
    <w:basedOn w:val="Normaallaad"/>
    <w:next w:val="Normaallaad"/>
    <w:link w:val="Pealkiri2Mrk"/>
    <w:uiPriority w:val="9"/>
    <w:semiHidden/>
    <w:unhideWhenUsed/>
    <w:qFormat/>
    <w:rsid w:val="00FE21C9"/>
    <w:pPr>
      <w:keepNext/>
      <w:keepLines/>
      <w:widowControl/>
      <w:suppressAutoHyphens w:val="0"/>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lang w:eastAsia="en-US" w:bidi="ar-SA"/>
    </w:rPr>
  </w:style>
  <w:style w:type="paragraph" w:styleId="Pealkiri3">
    <w:name w:val="heading 3"/>
    <w:basedOn w:val="Normaallaad"/>
    <w:next w:val="Normaallaad"/>
    <w:link w:val="Pealkiri3Mrk"/>
    <w:uiPriority w:val="9"/>
    <w:semiHidden/>
    <w:unhideWhenUsed/>
    <w:qFormat/>
    <w:rsid w:val="00FE21C9"/>
    <w:pPr>
      <w:keepNext/>
      <w:keepLines/>
      <w:widowControl/>
      <w:suppressAutoHyphens w:val="0"/>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lang w:eastAsia="en-US" w:bidi="ar-SA"/>
    </w:rPr>
  </w:style>
  <w:style w:type="paragraph" w:styleId="Pealkiri4">
    <w:name w:val="heading 4"/>
    <w:basedOn w:val="Normaallaad"/>
    <w:next w:val="Normaallaad"/>
    <w:link w:val="Pealkiri4Mrk"/>
    <w:uiPriority w:val="9"/>
    <w:semiHidden/>
    <w:unhideWhenUsed/>
    <w:qFormat/>
    <w:rsid w:val="00FE21C9"/>
    <w:pPr>
      <w:keepNext/>
      <w:keepLines/>
      <w:widowControl/>
      <w:suppressAutoHyphens w:val="0"/>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lang w:eastAsia="en-US" w:bidi="ar-SA"/>
    </w:rPr>
  </w:style>
  <w:style w:type="paragraph" w:styleId="Pealkiri5">
    <w:name w:val="heading 5"/>
    <w:basedOn w:val="Normaallaad"/>
    <w:next w:val="Normaallaad"/>
    <w:link w:val="Pealkiri5Mrk"/>
    <w:uiPriority w:val="9"/>
    <w:semiHidden/>
    <w:unhideWhenUsed/>
    <w:qFormat/>
    <w:rsid w:val="00FE21C9"/>
    <w:pPr>
      <w:keepNext/>
      <w:keepLines/>
      <w:widowControl/>
      <w:suppressAutoHyphens w:val="0"/>
      <w:spacing w:before="80" w:after="40" w:line="259" w:lineRule="auto"/>
      <w:jc w:val="left"/>
      <w:outlineLvl w:val="4"/>
    </w:pPr>
    <w:rPr>
      <w:rFonts w:asciiTheme="minorHAnsi" w:eastAsiaTheme="majorEastAsia" w:hAnsiTheme="minorHAnsi" w:cstheme="majorBidi"/>
      <w:color w:val="0F4761" w:themeColor="accent1" w:themeShade="BF"/>
      <w:kern w:val="2"/>
      <w:sz w:val="22"/>
      <w:szCs w:val="22"/>
      <w:lang w:eastAsia="en-US" w:bidi="ar-SA"/>
    </w:rPr>
  </w:style>
  <w:style w:type="paragraph" w:styleId="Pealkiri6">
    <w:name w:val="heading 6"/>
    <w:basedOn w:val="Normaallaad"/>
    <w:next w:val="Normaallaad"/>
    <w:link w:val="Pealkiri6Mrk"/>
    <w:uiPriority w:val="9"/>
    <w:semiHidden/>
    <w:unhideWhenUsed/>
    <w:qFormat/>
    <w:rsid w:val="00FE21C9"/>
    <w:pPr>
      <w:keepNext/>
      <w:keepLines/>
      <w:widowControl/>
      <w:suppressAutoHyphens w:val="0"/>
      <w:spacing w:before="40" w:line="259" w:lineRule="auto"/>
      <w:jc w:val="left"/>
      <w:outlineLvl w:val="5"/>
    </w:pPr>
    <w:rPr>
      <w:rFonts w:asciiTheme="minorHAnsi" w:eastAsiaTheme="majorEastAsia" w:hAnsiTheme="minorHAnsi" w:cstheme="majorBidi"/>
      <w:i/>
      <w:iCs/>
      <w:color w:val="595959" w:themeColor="text1" w:themeTint="A6"/>
      <w:kern w:val="2"/>
      <w:sz w:val="22"/>
      <w:szCs w:val="22"/>
      <w:lang w:eastAsia="en-US" w:bidi="ar-SA"/>
    </w:rPr>
  </w:style>
  <w:style w:type="paragraph" w:styleId="Pealkiri7">
    <w:name w:val="heading 7"/>
    <w:basedOn w:val="Normaallaad"/>
    <w:next w:val="Normaallaad"/>
    <w:link w:val="Pealkiri7Mrk"/>
    <w:uiPriority w:val="9"/>
    <w:semiHidden/>
    <w:unhideWhenUsed/>
    <w:qFormat/>
    <w:rsid w:val="00FE21C9"/>
    <w:pPr>
      <w:keepNext/>
      <w:keepLines/>
      <w:widowControl/>
      <w:suppressAutoHyphens w:val="0"/>
      <w:spacing w:before="40" w:line="259" w:lineRule="auto"/>
      <w:jc w:val="left"/>
      <w:outlineLvl w:val="6"/>
    </w:pPr>
    <w:rPr>
      <w:rFonts w:asciiTheme="minorHAnsi" w:eastAsiaTheme="majorEastAsia" w:hAnsiTheme="minorHAnsi" w:cstheme="majorBidi"/>
      <w:color w:val="595959" w:themeColor="text1" w:themeTint="A6"/>
      <w:kern w:val="2"/>
      <w:sz w:val="22"/>
      <w:szCs w:val="22"/>
      <w:lang w:eastAsia="en-US" w:bidi="ar-SA"/>
    </w:rPr>
  </w:style>
  <w:style w:type="paragraph" w:styleId="Pealkiri8">
    <w:name w:val="heading 8"/>
    <w:basedOn w:val="Normaallaad"/>
    <w:next w:val="Normaallaad"/>
    <w:link w:val="Pealkiri8Mrk"/>
    <w:uiPriority w:val="9"/>
    <w:semiHidden/>
    <w:unhideWhenUsed/>
    <w:qFormat/>
    <w:rsid w:val="00FE21C9"/>
    <w:pPr>
      <w:keepNext/>
      <w:keepLines/>
      <w:widowControl/>
      <w:suppressAutoHyphens w:val="0"/>
      <w:spacing w:line="259" w:lineRule="auto"/>
      <w:jc w:val="left"/>
      <w:outlineLvl w:val="7"/>
    </w:pPr>
    <w:rPr>
      <w:rFonts w:asciiTheme="minorHAnsi" w:eastAsiaTheme="majorEastAsia" w:hAnsiTheme="minorHAnsi" w:cstheme="majorBidi"/>
      <w:i/>
      <w:iCs/>
      <w:color w:val="272727" w:themeColor="text1" w:themeTint="D8"/>
      <w:kern w:val="2"/>
      <w:sz w:val="22"/>
      <w:szCs w:val="22"/>
      <w:lang w:eastAsia="en-US" w:bidi="ar-SA"/>
    </w:rPr>
  </w:style>
  <w:style w:type="paragraph" w:styleId="Pealkiri9">
    <w:name w:val="heading 9"/>
    <w:basedOn w:val="Normaallaad"/>
    <w:next w:val="Normaallaad"/>
    <w:link w:val="Pealkiri9Mrk"/>
    <w:uiPriority w:val="9"/>
    <w:semiHidden/>
    <w:unhideWhenUsed/>
    <w:qFormat/>
    <w:rsid w:val="00FE21C9"/>
    <w:pPr>
      <w:keepNext/>
      <w:keepLines/>
      <w:widowControl/>
      <w:suppressAutoHyphens w:val="0"/>
      <w:spacing w:line="259" w:lineRule="auto"/>
      <w:jc w:val="left"/>
      <w:outlineLvl w:val="8"/>
    </w:pPr>
    <w:rPr>
      <w:rFonts w:asciiTheme="minorHAnsi" w:eastAsiaTheme="majorEastAsia" w:hAnsiTheme="minorHAnsi" w:cstheme="majorBidi"/>
      <w:color w:val="272727" w:themeColor="text1" w:themeTint="D8"/>
      <w:kern w:val="2"/>
      <w:sz w:val="22"/>
      <w:szCs w:val="22"/>
      <w:lang w:eastAsia="en-US"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link w:val="PealkiriMrk"/>
    <w:uiPriority w:val="10"/>
    <w:qFormat/>
    <w:rsid w:val="00FE21C9"/>
    <w:pPr>
      <w:widowControl/>
      <w:suppressAutoHyphens w:val="0"/>
      <w:spacing w:after="80" w:line="240" w:lineRule="auto"/>
      <w:contextualSpacing/>
      <w:jc w:val="left"/>
    </w:pPr>
    <w:rPr>
      <w:rFonts w:asciiTheme="majorHAnsi" w:eastAsiaTheme="majorEastAsia" w:hAnsiTheme="majorHAnsi" w:cstheme="majorBidi"/>
      <w:spacing w:val="-10"/>
      <w:kern w:val="28"/>
      <w:sz w:val="56"/>
      <w:szCs w:val="56"/>
      <w:lang w:eastAsia="en-US" w:bidi="ar-SA"/>
    </w:rPr>
  </w:style>
  <w:style w:type="character" w:customStyle="1" w:styleId="Pealkiri1Mrk">
    <w:name w:val="Pealkiri 1 Märk"/>
    <w:basedOn w:val="Liguvaikefont"/>
    <w:link w:val="Pealkiri1"/>
    <w:uiPriority w:val="9"/>
    <w:rsid w:val="00FE21C9"/>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FE21C9"/>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FE21C9"/>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FE21C9"/>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FE21C9"/>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FE21C9"/>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FE21C9"/>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FE21C9"/>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FE21C9"/>
    <w:rPr>
      <w:rFonts w:eastAsiaTheme="majorEastAsia" w:cstheme="majorBidi"/>
      <w:color w:val="272727" w:themeColor="text1" w:themeTint="D8"/>
    </w:rPr>
  </w:style>
  <w:style w:type="character" w:customStyle="1" w:styleId="PealkiriMrk">
    <w:name w:val="Pealkiri Märk"/>
    <w:basedOn w:val="Liguvaikefont"/>
    <w:link w:val="Pealkiri"/>
    <w:uiPriority w:val="10"/>
    <w:rsid w:val="00FE21C9"/>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pPr>
      <w:widowControl/>
      <w:spacing w:after="160" w:line="259" w:lineRule="auto"/>
      <w:jc w:val="left"/>
    </w:pPr>
    <w:rPr>
      <w:rFonts w:ascii="Aptos" w:eastAsia="Aptos" w:hAnsi="Aptos" w:cs="Aptos"/>
      <w:color w:val="595959"/>
      <w:sz w:val="28"/>
      <w:szCs w:val="28"/>
    </w:rPr>
  </w:style>
  <w:style w:type="character" w:customStyle="1" w:styleId="AlapealkiriMrk">
    <w:name w:val="Alapealkiri Märk"/>
    <w:basedOn w:val="Liguvaikefont"/>
    <w:link w:val="Alapealkiri"/>
    <w:uiPriority w:val="11"/>
    <w:rsid w:val="00FE21C9"/>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FE21C9"/>
    <w:pPr>
      <w:widowControl/>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bidi="ar-SA"/>
    </w:rPr>
  </w:style>
  <w:style w:type="character" w:customStyle="1" w:styleId="TsitaatMrk">
    <w:name w:val="Tsitaat Märk"/>
    <w:basedOn w:val="Liguvaikefont"/>
    <w:link w:val="Tsitaat"/>
    <w:uiPriority w:val="29"/>
    <w:rsid w:val="00FE21C9"/>
    <w:rPr>
      <w:i/>
      <w:iCs/>
      <w:color w:val="404040" w:themeColor="text1" w:themeTint="BF"/>
    </w:rPr>
  </w:style>
  <w:style w:type="paragraph" w:styleId="Loendilik">
    <w:name w:val="List Paragraph"/>
    <w:basedOn w:val="Normaallaad"/>
    <w:uiPriority w:val="34"/>
    <w:qFormat/>
    <w:rsid w:val="00FE21C9"/>
    <w:pPr>
      <w:widowControl/>
      <w:suppressAutoHyphens w:val="0"/>
      <w:spacing w:after="160" w:line="259" w:lineRule="auto"/>
      <w:ind w:left="720"/>
      <w:contextualSpacing/>
      <w:jc w:val="left"/>
    </w:pPr>
    <w:rPr>
      <w:rFonts w:asciiTheme="minorHAnsi" w:eastAsiaTheme="minorHAnsi" w:hAnsiTheme="minorHAnsi" w:cstheme="minorBidi"/>
      <w:kern w:val="2"/>
      <w:sz w:val="22"/>
      <w:szCs w:val="22"/>
      <w:lang w:eastAsia="en-US" w:bidi="ar-SA"/>
    </w:rPr>
  </w:style>
  <w:style w:type="character" w:styleId="Selgeltmrgatavrhutus">
    <w:name w:val="Intense Emphasis"/>
    <w:basedOn w:val="Liguvaikefont"/>
    <w:uiPriority w:val="21"/>
    <w:qFormat/>
    <w:rsid w:val="00FE21C9"/>
    <w:rPr>
      <w:i/>
      <w:iCs/>
      <w:color w:val="0F4761" w:themeColor="accent1" w:themeShade="BF"/>
    </w:rPr>
  </w:style>
  <w:style w:type="paragraph" w:styleId="Selgeltmrgatavtsitaat">
    <w:name w:val="Intense Quote"/>
    <w:basedOn w:val="Normaallaad"/>
    <w:next w:val="Normaallaad"/>
    <w:link w:val="SelgeltmrgatavtsitaatMrk"/>
    <w:uiPriority w:val="30"/>
    <w:qFormat/>
    <w:rsid w:val="00FE21C9"/>
    <w:pPr>
      <w:widowControl/>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bidi="ar-SA"/>
    </w:rPr>
  </w:style>
  <w:style w:type="character" w:customStyle="1" w:styleId="SelgeltmrgatavtsitaatMrk">
    <w:name w:val="Selgelt märgatav tsitaat Märk"/>
    <w:basedOn w:val="Liguvaikefont"/>
    <w:link w:val="Selgeltmrgatavtsitaat"/>
    <w:uiPriority w:val="30"/>
    <w:rsid w:val="00FE21C9"/>
    <w:rPr>
      <w:i/>
      <w:iCs/>
      <w:color w:val="0F4761" w:themeColor="accent1" w:themeShade="BF"/>
    </w:rPr>
  </w:style>
  <w:style w:type="character" w:styleId="Selgeltmrgatavviide">
    <w:name w:val="Intense Reference"/>
    <w:basedOn w:val="Liguvaikefont"/>
    <w:uiPriority w:val="32"/>
    <w:qFormat/>
    <w:rsid w:val="00FE21C9"/>
    <w:rPr>
      <w:b/>
      <w:bCs/>
      <w:smallCaps/>
      <w:color w:val="0F4761" w:themeColor="accent1" w:themeShade="BF"/>
      <w:spacing w:val="5"/>
    </w:rPr>
  </w:style>
  <w:style w:type="paragraph" w:styleId="Allmrkusetekst">
    <w:name w:val="footnote text"/>
    <w:basedOn w:val="Normaallaad"/>
    <w:link w:val="AllmrkusetekstMrk"/>
    <w:uiPriority w:val="99"/>
    <w:semiHidden/>
    <w:unhideWhenUsed/>
    <w:rsid w:val="00FE21C9"/>
    <w:pPr>
      <w:widowControl/>
      <w:suppressAutoHyphens w:val="0"/>
      <w:spacing w:line="240" w:lineRule="auto"/>
      <w:jc w:val="left"/>
    </w:pPr>
    <w:rPr>
      <w:rFonts w:asciiTheme="minorHAnsi" w:eastAsiaTheme="minorHAnsi" w:hAnsiTheme="minorHAnsi" w:cstheme="minorBidi"/>
      <w:kern w:val="0"/>
      <w:sz w:val="20"/>
      <w:szCs w:val="20"/>
      <w:lang w:eastAsia="en-US" w:bidi="ar-SA"/>
    </w:rPr>
  </w:style>
  <w:style w:type="character" w:customStyle="1" w:styleId="AllmrkusetekstMrk">
    <w:name w:val="Allmärkuse tekst Märk"/>
    <w:basedOn w:val="Liguvaikefont"/>
    <w:link w:val="Allmrkusetekst"/>
    <w:uiPriority w:val="99"/>
    <w:semiHidden/>
    <w:rsid w:val="00FE21C9"/>
    <w:rPr>
      <w:kern w:val="0"/>
      <w:sz w:val="20"/>
      <w:szCs w:val="20"/>
    </w:rPr>
  </w:style>
  <w:style w:type="character" w:styleId="Allmrkuseviide">
    <w:name w:val="footnote reference"/>
    <w:basedOn w:val="Liguvaikefont"/>
    <w:uiPriority w:val="99"/>
    <w:semiHidden/>
    <w:unhideWhenUsed/>
    <w:rsid w:val="00FE21C9"/>
    <w:rPr>
      <w:vertAlign w:val="superscript"/>
    </w:rPr>
  </w:style>
  <w:style w:type="paragraph" w:styleId="Redaktsioon">
    <w:name w:val="Revision"/>
    <w:hidden/>
    <w:uiPriority w:val="99"/>
    <w:semiHidden/>
    <w:rsid w:val="00406E94"/>
    <w:pPr>
      <w:spacing w:line="240" w:lineRule="auto"/>
    </w:pPr>
    <w:rPr>
      <w:rFonts w:eastAsia="SimSun" w:cs="Mangal"/>
      <w:kern w:val="1"/>
      <w:szCs w:val="21"/>
      <w:lang w:eastAsia="zh-CN" w:bidi="hi-IN"/>
    </w:rPr>
  </w:style>
  <w:style w:type="table" w:customStyle="1" w:styleId="TableGrid">
    <w:name w:val="TableGrid"/>
    <w:rsid w:val="00C96806"/>
    <w:pPr>
      <w:spacing w:line="240" w:lineRule="auto"/>
    </w:pPr>
    <w:rPr>
      <w:rFonts w:eastAsiaTheme="minorEastAsia"/>
    </w:rPr>
    <w:tblPr>
      <w:tblCellMar>
        <w:top w:w="0" w:type="dxa"/>
        <w:left w:w="0" w:type="dxa"/>
        <w:bottom w:w="0" w:type="dxa"/>
        <w:right w:w="0" w:type="dxa"/>
      </w:tblCellMar>
    </w:tblPr>
  </w:style>
  <w:style w:type="table" w:customStyle="1" w:styleId="a">
    <w:basedOn w:val="TableNormal"/>
    <w:pPr>
      <w:spacing w:line="240" w:lineRule="auto"/>
    </w:pPr>
    <w:tblPr>
      <w:tblStyleRowBandSize w:val="1"/>
      <w:tblStyleColBandSize w:val="1"/>
      <w:tblCellMar>
        <w:top w:w="11" w:type="dxa"/>
        <w:left w:w="108" w:type="dxa"/>
        <w:right w:w="115" w:type="dxa"/>
      </w:tblCellMar>
    </w:tblPr>
  </w:style>
  <w:style w:type="table" w:customStyle="1" w:styleId="a0">
    <w:basedOn w:val="TableNormal"/>
    <w:tblPr>
      <w:tblStyleRowBandSize w:val="1"/>
      <w:tblStyleColBandSize w:val="1"/>
      <w:tblCellMar>
        <w:left w:w="70" w:type="dxa"/>
        <w:right w:w="70" w:type="dxa"/>
      </w:tblCellMar>
    </w:tblPr>
  </w:style>
  <w:style w:type="character" w:styleId="Kommentaariviide">
    <w:name w:val="annotation reference"/>
    <w:basedOn w:val="Liguvaikefont"/>
    <w:uiPriority w:val="99"/>
    <w:semiHidden/>
    <w:unhideWhenUsed/>
    <w:rsid w:val="00D539A2"/>
    <w:rPr>
      <w:sz w:val="16"/>
      <w:szCs w:val="16"/>
    </w:rPr>
  </w:style>
  <w:style w:type="paragraph" w:styleId="Kommentaaritekst">
    <w:name w:val="annotation text"/>
    <w:basedOn w:val="Normaallaad"/>
    <w:link w:val="KommentaaritekstMrk"/>
    <w:uiPriority w:val="99"/>
    <w:unhideWhenUsed/>
    <w:rsid w:val="00D539A2"/>
    <w:pPr>
      <w:spacing w:line="240" w:lineRule="auto"/>
    </w:pPr>
    <w:rPr>
      <w:rFonts w:cs="Mangal"/>
      <w:sz w:val="20"/>
      <w:szCs w:val="18"/>
    </w:rPr>
  </w:style>
  <w:style w:type="character" w:customStyle="1" w:styleId="KommentaaritekstMrk">
    <w:name w:val="Kommentaari tekst Märk"/>
    <w:basedOn w:val="Liguvaikefont"/>
    <w:link w:val="Kommentaaritekst"/>
    <w:uiPriority w:val="99"/>
    <w:rsid w:val="00D539A2"/>
    <w:rPr>
      <w:rFonts w:eastAsia="SimSun" w:cs="Mangal"/>
      <w:kern w:val="1"/>
      <w:sz w:val="20"/>
      <w:szCs w:val="18"/>
      <w:lang w:eastAsia="zh-CN" w:bidi="hi-IN"/>
    </w:rPr>
  </w:style>
  <w:style w:type="paragraph" w:styleId="Kommentaariteema">
    <w:name w:val="annotation subject"/>
    <w:basedOn w:val="Kommentaaritekst"/>
    <w:next w:val="Kommentaaritekst"/>
    <w:link w:val="KommentaariteemaMrk"/>
    <w:uiPriority w:val="99"/>
    <w:semiHidden/>
    <w:unhideWhenUsed/>
    <w:rsid w:val="00D539A2"/>
    <w:rPr>
      <w:b/>
      <w:bCs/>
    </w:rPr>
  </w:style>
  <w:style w:type="character" w:customStyle="1" w:styleId="KommentaariteemaMrk">
    <w:name w:val="Kommentaari teema Märk"/>
    <w:basedOn w:val="KommentaaritekstMrk"/>
    <w:link w:val="Kommentaariteema"/>
    <w:uiPriority w:val="99"/>
    <w:semiHidden/>
    <w:rsid w:val="00D539A2"/>
    <w:rPr>
      <w:rFonts w:eastAsia="SimSun" w:cs="Mangal"/>
      <w:b/>
      <w:bCs/>
      <w:kern w:val="1"/>
      <w:sz w:val="20"/>
      <w:szCs w:val="18"/>
      <w:lang w:eastAsia="zh-CN" w:bidi="hi-IN"/>
    </w:rPr>
  </w:style>
  <w:style w:type="character" w:styleId="Hperlink">
    <w:name w:val="Hyperlink"/>
    <w:basedOn w:val="Liguvaikefont"/>
    <w:uiPriority w:val="99"/>
    <w:unhideWhenUsed/>
    <w:rsid w:val="00740AE9"/>
    <w:rPr>
      <w:color w:val="467886" w:themeColor="hyperlink"/>
      <w:u w:val="single"/>
    </w:rPr>
  </w:style>
  <w:style w:type="character" w:styleId="Lahendamatamainimine">
    <w:name w:val="Unresolved Mention"/>
    <w:basedOn w:val="Liguvaikefont"/>
    <w:uiPriority w:val="99"/>
    <w:semiHidden/>
    <w:unhideWhenUsed/>
    <w:rsid w:val="00740AE9"/>
    <w:rPr>
      <w:color w:val="605E5C"/>
      <w:shd w:val="clear" w:color="auto" w:fill="E1DFDD"/>
    </w:rPr>
  </w:style>
  <w:style w:type="paragraph" w:styleId="Pis">
    <w:name w:val="header"/>
    <w:basedOn w:val="Normaallaad"/>
    <w:link w:val="PisMrk"/>
    <w:uiPriority w:val="99"/>
    <w:unhideWhenUsed/>
    <w:rsid w:val="00630D59"/>
    <w:pPr>
      <w:tabs>
        <w:tab w:val="center" w:pos="4513"/>
        <w:tab w:val="right" w:pos="9026"/>
      </w:tabs>
      <w:spacing w:line="240" w:lineRule="auto"/>
    </w:pPr>
    <w:rPr>
      <w:rFonts w:cs="Mangal"/>
      <w:szCs w:val="21"/>
    </w:rPr>
  </w:style>
  <w:style w:type="character" w:customStyle="1" w:styleId="PisMrk">
    <w:name w:val="Päis Märk"/>
    <w:basedOn w:val="Liguvaikefont"/>
    <w:link w:val="Pis"/>
    <w:uiPriority w:val="99"/>
    <w:rsid w:val="00630D59"/>
    <w:rPr>
      <w:rFonts w:eastAsia="SimSun" w:cs="Mangal"/>
      <w:kern w:val="1"/>
      <w:szCs w:val="21"/>
      <w:lang w:eastAsia="zh-CN" w:bidi="hi-IN"/>
    </w:rPr>
  </w:style>
  <w:style w:type="paragraph" w:styleId="Jalus">
    <w:name w:val="footer"/>
    <w:basedOn w:val="Normaallaad"/>
    <w:link w:val="JalusMrk"/>
    <w:uiPriority w:val="99"/>
    <w:unhideWhenUsed/>
    <w:rsid w:val="00630D59"/>
    <w:pPr>
      <w:tabs>
        <w:tab w:val="center" w:pos="4513"/>
        <w:tab w:val="right" w:pos="9026"/>
      </w:tabs>
      <w:spacing w:line="240" w:lineRule="auto"/>
    </w:pPr>
    <w:rPr>
      <w:rFonts w:cs="Mangal"/>
      <w:szCs w:val="21"/>
    </w:rPr>
  </w:style>
  <w:style w:type="character" w:customStyle="1" w:styleId="JalusMrk">
    <w:name w:val="Jalus Märk"/>
    <w:basedOn w:val="Liguvaikefont"/>
    <w:link w:val="Jalus"/>
    <w:uiPriority w:val="99"/>
    <w:rsid w:val="00630D59"/>
    <w:rPr>
      <w:rFonts w:eastAsia="SimSun" w:cs="Mangal"/>
      <w:kern w:val="1"/>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73603">
      <w:bodyDiv w:val="1"/>
      <w:marLeft w:val="0"/>
      <w:marRight w:val="0"/>
      <w:marTop w:val="0"/>
      <w:marBottom w:val="0"/>
      <w:divBdr>
        <w:top w:val="none" w:sz="0" w:space="0" w:color="auto"/>
        <w:left w:val="none" w:sz="0" w:space="0" w:color="auto"/>
        <w:bottom w:val="none" w:sz="0" w:space="0" w:color="auto"/>
        <w:right w:val="none" w:sz="0" w:space="0" w:color="auto"/>
      </w:divBdr>
    </w:div>
    <w:div w:id="668949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notes.xml.rels><?xml version="1.0" encoding="UTF-8" standalone="yes"?>
<Relationships xmlns="http://schemas.openxmlformats.org/package/2006/relationships"><Relationship Id="rId2" Type="http://schemas.openxmlformats.org/officeDocument/2006/relationships/hyperlink" Target="https://digipro.geenius.ee/blogi/it-ekspress/it-tooturg-2024-aastal-inimestest-on-jatkuvalt-suur-puudus-aga-midagi-on-siiski-muutumas/" TargetMode="External"/><Relationship Id="rId1" Type="http://schemas.openxmlformats.org/officeDocument/2006/relationships/hyperlink" Target="https://ec.europa.eu/eurostat/databrowser/view/isoc_sks_itspt/default/table?lang=en&amp;category=isoc.isoc_sk.isoc_sks.isoc_sksl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7EH3DcuQzabS9YqHm3IT7T0OqQ==">CgMxLjAyCGguZ2pkZ3hzOAByITF3M08yLVQ4YVZoS2hDQXplNk9UVU56YjRlRzZrMnJacw==</go:docsCustomData>
</go:gDocsCustomXmlDataStorage>
</file>

<file path=customXml/itemProps1.xml><?xml version="1.0" encoding="utf-8"?>
<ds:datastoreItem xmlns:ds="http://schemas.openxmlformats.org/officeDocument/2006/customXml" ds:itemID="{4AF9A2CB-9979-6949-8FAC-7F9CCFD85D3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1985</Words>
  <Characters>11517</Characters>
  <Application>Microsoft Office Word</Application>
  <DocSecurity>0</DocSecurity>
  <Lines>95</Lines>
  <Paragraphs>26</Paragraphs>
  <ScaleCrop>false</ScaleCrop>
  <HeadingPairs>
    <vt:vector size="4" baseType="variant">
      <vt:variant>
        <vt:lpstr>Pealkiri</vt:lpstr>
      </vt:variant>
      <vt:variant>
        <vt:i4>1</vt:i4>
      </vt:variant>
      <vt:variant>
        <vt:lpstr>Название</vt:lpstr>
      </vt:variant>
      <vt:variant>
        <vt:i4>1</vt:i4>
      </vt:variant>
    </vt:vector>
  </HeadingPairs>
  <TitlesOfParts>
    <vt:vector size="2" baseType="lpstr">
      <vt:lpstr/>
      <vt:lpstr/>
    </vt:vector>
  </TitlesOfParts>
  <Company>Haridus- ja Teadusministeerium</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Anna-Liina Väkram</dc:creator>
  <cp:lastModifiedBy>Katrin Kalda</cp:lastModifiedBy>
  <cp:revision>2</cp:revision>
  <dcterms:created xsi:type="dcterms:W3CDTF">2024-10-29T06:10:00Z</dcterms:created>
  <dcterms:modified xsi:type="dcterms:W3CDTF">2024-10-29T06:10:00Z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2024-06-21T15:55:07Z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aa53ada2-a4e4-4dc8-b859-f05582bf43ee</vt:lpwstr>
  </property>
  <property fmtid="{D5CDD505-2E9C-101B-9397-08002B2CF9AE}" pid="8" name="MSIP_Label_defa4170-0d19-0005-0004-bc88714345d2_ContentBits">
    <vt:lpwstr>0</vt:lpwstr>
  </property>
  <property fmtid="{D5CDD505-2E9C-101B-9397-08002B2CF9AE}" pid="9" name="ContentTypeId">
    <vt:lpwstr>0x0101002D2BC05C88F740408F9ABA460223310F</vt:lpwstr>
  </property>
  <property fmtid="{D5CDD505-2E9C-101B-9397-08002B2CF9AE}" pid="10" name="_NewReviewCycle">
    <vt:lpwstr/>
  </property>
</Properties>
</file>